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86" w:rsidRPr="00C267E9" w:rsidRDefault="00600C86" w:rsidP="00600C86">
      <w:pPr>
        <w:pStyle w:val="ListParagraph"/>
        <w:spacing w:after="0" w:line="240" w:lineRule="auto"/>
        <w:ind w:left="360"/>
        <w:jc w:val="center"/>
        <w:rPr>
          <w:sz w:val="24"/>
          <w:szCs w:val="24"/>
        </w:rPr>
      </w:pPr>
      <w:r w:rsidRPr="00C267E9">
        <w:rPr>
          <w:b/>
          <w:sz w:val="24"/>
          <w:szCs w:val="24"/>
        </w:rPr>
        <w:t xml:space="preserve">Inflammatory Bowel Disease (IBD) </w:t>
      </w:r>
      <w:r>
        <w:rPr>
          <w:b/>
          <w:sz w:val="24"/>
          <w:szCs w:val="24"/>
        </w:rPr>
        <w:t xml:space="preserve">- Assessment </w:t>
      </w:r>
      <w:r w:rsidRPr="00C267E9">
        <w:rPr>
          <w:b/>
          <w:sz w:val="24"/>
          <w:szCs w:val="24"/>
        </w:rPr>
        <w:t>Measures</w:t>
      </w:r>
    </w:p>
    <w:p w:rsidR="00600C86" w:rsidRPr="00C267E9" w:rsidRDefault="00600C86" w:rsidP="00600C86">
      <w:pPr>
        <w:rPr>
          <w:rFonts w:ascii="Calibri" w:hAnsi="Calibri"/>
        </w:rPr>
      </w:pPr>
    </w:p>
    <w:p w:rsidR="00600C86" w:rsidRPr="00C267E9" w:rsidRDefault="00600C86" w:rsidP="00600C86">
      <w:pPr>
        <w:numPr>
          <w:ilvl w:val="0"/>
          <w:numId w:val="1"/>
        </w:numPr>
        <w:rPr>
          <w:rFonts w:ascii="Calibri" w:hAnsi="Calibri"/>
        </w:rPr>
      </w:pPr>
      <w:r w:rsidRPr="00C267E9">
        <w:rPr>
          <w:rFonts w:ascii="Calibri" w:hAnsi="Calibri"/>
          <w:b/>
          <w:caps/>
        </w:rPr>
        <w:t xml:space="preserve">Disease </w:t>
      </w:r>
      <w:r>
        <w:rPr>
          <w:rFonts w:ascii="Calibri" w:hAnsi="Calibri"/>
          <w:b/>
          <w:caps/>
        </w:rPr>
        <w:t>ACTIVITY</w:t>
      </w:r>
      <w:r w:rsidRPr="00C267E9">
        <w:rPr>
          <w:rFonts w:ascii="Calibri" w:hAnsi="Calibri"/>
        </w:rPr>
        <w:t xml:space="preserve">- </w:t>
      </w:r>
      <w:r w:rsidRPr="00C267E9">
        <w:rPr>
          <w:rFonts w:ascii="Calibri" w:hAnsi="Calibri"/>
          <w:b/>
        </w:rPr>
        <w:t>CROHN’S DISEASE</w:t>
      </w:r>
      <w:r w:rsidRPr="00C267E9">
        <w:rPr>
          <w:rFonts w:ascii="Calibri" w:hAnsi="Calibri"/>
        </w:rPr>
        <w:t>:</w:t>
      </w:r>
    </w:p>
    <w:p w:rsidR="00600C86" w:rsidRPr="00C267E9" w:rsidRDefault="00600C86" w:rsidP="00600C86">
      <w:pPr>
        <w:numPr>
          <w:ilvl w:val="2"/>
          <w:numId w:val="1"/>
        </w:numPr>
        <w:tabs>
          <w:tab w:val="clear" w:pos="1800"/>
          <w:tab w:val="num" w:pos="720"/>
        </w:tabs>
        <w:ind w:left="720"/>
        <w:rPr>
          <w:rFonts w:ascii="Calibri" w:hAnsi="Calibri"/>
        </w:rPr>
      </w:pPr>
      <w:r w:rsidRPr="00C267E9">
        <w:rPr>
          <w:rFonts w:ascii="Calibri" w:hAnsi="Calibri"/>
          <w:b/>
          <w:u w:val="single"/>
        </w:rPr>
        <w:t>Partial Harvey-Bradshaw Index</w:t>
      </w:r>
      <w:r w:rsidRPr="00C267E9">
        <w:rPr>
          <w:rFonts w:ascii="Calibri" w:hAnsi="Calibri"/>
        </w:rPr>
        <w:t xml:space="preserve">: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 xml:space="preserve">Purpose of Use: </w:t>
      </w:r>
      <w:r w:rsidRPr="00C267E9">
        <w:rPr>
          <w:rFonts w:ascii="Calibri" w:hAnsi="Calibri"/>
        </w:rPr>
        <w:t>The PHBI</w:t>
      </w:r>
      <w:r w:rsidRPr="00C267E9">
        <w:rPr>
          <w:rFonts w:ascii="Calibri" w:hAnsi="Calibri"/>
          <w:i/>
        </w:rPr>
        <w:t xml:space="preserve"> </w:t>
      </w:r>
      <w:r w:rsidRPr="00C267E9">
        <w:rPr>
          <w:rFonts w:ascii="Calibri" w:hAnsi="Calibri"/>
        </w:rPr>
        <w:t xml:space="preserve">is a 3-item measure of disease severity for patients with </w:t>
      </w:r>
      <w:proofErr w:type="spellStart"/>
      <w:r w:rsidRPr="00C267E9">
        <w:rPr>
          <w:rFonts w:ascii="Calibri" w:hAnsi="Calibri"/>
        </w:rPr>
        <w:t>Crohn’s</w:t>
      </w:r>
      <w:proofErr w:type="spellEnd"/>
      <w:r w:rsidRPr="00C267E9">
        <w:rPr>
          <w:rFonts w:ascii="Calibri" w:hAnsi="Calibri"/>
        </w:rPr>
        <w:t xml:space="preserve"> disease that allows patients to rate 3 categories of symptom severity over the last seven days. Symptom categories include general well-being, abdominal pain, and number of liquid stools. Scores range from 0-12 with a higher score indicating more active disease (i.e., 0 = inactive disease; 1-4 = mild disease; ≥ 5 = moderate to severe disease).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>Psychometric Properties:</w:t>
      </w:r>
      <w:r w:rsidRPr="00C267E9">
        <w:rPr>
          <w:rFonts w:ascii="Calibri" w:hAnsi="Calibri"/>
        </w:rPr>
        <w:t xml:space="preserve"> The PHBI has demonstrated adequate reliability and validity in prior studies and is very feasible.</w:t>
      </w:r>
      <w:r>
        <w:rPr>
          <w:rFonts w:ascii="Calibri" w:hAnsi="Calibri"/>
        </w:rPr>
        <w:t xml:space="preserve"> Previous work also documents high correlations between this measure and physician global assessments of disease activity (Markowitz et al., 2000). Internal consistency of the PHBI has ranged from 0.71 – 0.88 when used among adolescents with IBD (Hommel, </w:t>
      </w:r>
      <w:proofErr w:type="spellStart"/>
      <w:r>
        <w:rPr>
          <w:rFonts w:ascii="Calibri" w:hAnsi="Calibri"/>
        </w:rPr>
        <w:t>Hente</w:t>
      </w:r>
      <w:proofErr w:type="spellEnd"/>
      <w:r>
        <w:rPr>
          <w:rFonts w:ascii="Calibri" w:hAnsi="Calibri"/>
        </w:rPr>
        <w:t xml:space="preserve">, et al., 2011; Hommel, Herzer, et al., 2011).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proofErr w:type="gramStart"/>
      <w:r w:rsidRPr="00C267E9">
        <w:rPr>
          <w:rFonts w:ascii="Calibri" w:hAnsi="Calibri"/>
          <w:b/>
        </w:rPr>
        <w:t>Suggested Next Steps for Validation:</w:t>
      </w:r>
      <w:r w:rsidRPr="00C267E9">
        <w:rPr>
          <w:rFonts w:ascii="Calibri" w:hAnsi="Calibri"/>
        </w:rPr>
        <w:t xml:space="preserve"> Further validation on pediatric samples is encouraged, as this is not a pediatric-specific measure.</w:t>
      </w:r>
      <w:proofErr w:type="gramEnd"/>
      <w:r w:rsidRPr="00C267E9">
        <w:rPr>
          <w:rFonts w:ascii="Calibri" w:hAnsi="Calibri"/>
        </w:rPr>
        <w:t xml:space="preserve">  </w:t>
      </w:r>
    </w:p>
    <w:p w:rsidR="00600C86" w:rsidRPr="002326E8" w:rsidRDefault="00600C86" w:rsidP="00600C86">
      <w:pPr>
        <w:ind w:left="720"/>
        <w:rPr>
          <w:rFonts w:ascii="Calibri" w:hAnsi="Calibri"/>
          <w:b/>
        </w:rPr>
      </w:pPr>
      <w:r w:rsidRPr="00C267E9">
        <w:rPr>
          <w:rFonts w:ascii="Calibri" w:hAnsi="Calibri"/>
          <w:b/>
        </w:rPr>
        <w:t>Citations:</w:t>
      </w:r>
    </w:p>
    <w:p w:rsidR="00600C86" w:rsidRDefault="00600C86" w:rsidP="00600C86">
      <w:pPr>
        <w:numPr>
          <w:ilvl w:val="1"/>
          <w:numId w:val="1"/>
        </w:numPr>
        <w:rPr>
          <w:rFonts w:ascii="Calibri" w:hAnsi="Calibri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</w:rPr>
            <w:t>Harvey</w:t>
          </w:r>
        </w:smartTag>
      </w:smartTag>
      <w:r>
        <w:rPr>
          <w:rFonts w:ascii="Calibri" w:hAnsi="Calibri"/>
        </w:rPr>
        <w:t xml:space="preserve"> RF, Bradshaw JM. A simple index of </w:t>
      </w:r>
      <w:proofErr w:type="spellStart"/>
      <w:r>
        <w:rPr>
          <w:rFonts w:ascii="Calibri" w:hAnsi="Calibri"/>
        </w:rPr>
        <w:t>crohn’s</w:t>
      </w:r>
      <w:proofErr w:type="spellEnd"/>
      <w:r>
        <w:rPr>
          <w:rFonts w:ascii="Calibri" w:hAnsi="Calibri"/>
        </w:rPr>
        <w:t xml:space="preserve"> disease activity. </w:t>
      </w:r>
      <w:r>
        <w:rPr>
          <w:rFonts w:ascii="Calibri" w:hAnsi="Calibri"/>
          <w:i/>
        </w:rPr>
        <w:t xml:space="preserve">Lancet. </w:t>
      </w:r>
      <w:r>
        <w:rPr>
          <w:rFonts w:ascii="Calibri" w:hAnsi="Calibri"/>
        </w:rPr>
        <w:t>1980</w:t>
      </w:r>
      <w:proofErr w:type="gramStart"/>
      <w:r>
        <w:rPr>
          <w:rFonts w:ascii="Calibri" w:hAnsi="Calibri"/>
        </w:rPr>
        <w:t>;1:514</w:t>
      </w:r>
      <w:proofErr w:type="gramEnd"/>
      <w:r>
        <w:rPr>
          <w:rFonts w:ascii="Calibri" w:hAnsi="Calibri"/>
        </w:rPr>
        <w:t>.</w:t>
      </w:r>
    </w:p>
    <w:p w:rsidR="00600C86" w:rsidRDefault="00600C86" w:rsidP="00600C86">
      <w:pPr>
        <w:numPr>
          <w:ilvl w:val="1"/>
          <w:numId w:val="1"/>
        </w:numPr>
        <w:rPr>
          <w:rFonts w:ascii="Calibri" w:hAnsi="Calibri"/>
        </w:rPr>
      </w:pPr>
      <w:r w:rsidRPr="00C267E9">
        <w:rPr>
          <w:rFonts w:ascii="Calibri" w:hAnsi="Calibri"/>
          <w:noProof/>
        </w:rPr>
        <w:t xml:space="preserve">Markowitz J, Grancher K, Kohn N, Lesser M, Daum F, Group TPMC. A multicenter trial of 6-mercaptopurine and prednisone in children with newly diagnosed Crohn's disease. </w:t>
      </w:r>
      <w:r w:rsidRPr="00C267E9">
        <w:rPr>
          <w:rFonts w:ascii="Calibri" w:hAnsi="Calibri"/>
          <w:i/>
          <w:noProof/>
        </w:rPr>
        <w:t xml:space="preserve">Gastroenterol. </w:t>
      </w:r>
      <w:r w:rsidRPr="00C267E9">
        <w:rPr>
          <w:rFonts w:ascii="Calibri" w:hAnsi="Calibri"/>
          <w:noProof/>
        </w:rPr>
        <w:t>2000;119:895-902.</w:t>
      </w:r>
    </w:p>
    <w:p w:rsidR="00600C86" w:rsidRPr="00C267E9" w:rsidRDefault="00600C86" w:rsidP="00600C86">
      <w:pPr>
        <w:ind w:left="1080"/>
        <w:rPr>
          <w:rFonts w:ascii="Calibri" w:hAnsi="Calibri"/>
        </w:rPr>
      </w:pPr>
    </w:p>
    <w:p w:rsidR="00600C86" w:rsidRPr="00C267E9" w:rsidRDefault="00600C86" w:rsidP="00600C8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C267E9">
        <w:rPr>
          <w:rFonts w:ascii="Calibri" w:hAnsi="Calibri"/>
          <w:b/>
          <w:iCs/>
          <w:u w:val="single"/>
        </w:rPr>
        <w:t xml:space="preserve">Pediatric </w:t>
      </w:r>
      <w:proofErr w:type="spellStart"/>
      <w:r w:rsidRPr="00C267E9">
        <w:rPr>
          <w:rFonts w:ascii="Calibri" w:hAnsi="Calibri"/>
          <w:b/>
          <w:iCs/>
          <w:u w:val="single"/>
        </w:rPr>
        <w:t>Crohn’s</w:t>
      </w:r>
      <w:proofErr w:type="spellEnd"/>
      <w:r w:rsidRPr="00C267E9">
        <w:rPr>
          <w:rFonts w:ascii="Calibri" w:hAnsi="Calibri"/>
          <w:b/>
          <w:iCs/>
          <w:u w:val="single"/>
        </w:rPr>
        <w:t xml:space="preserve"> Disease Activity Index </w:t>
      </w:r>
      <w:r w:rsidRPr="00C267E9">
        <w:rPr>
          <w:rFonts w:ascii="Calibri" w:hAnsi="Calibri"/>
          <w:b/>
          <w:u w:val="single"/>
        </w:rPr>
        <w:t>(</w:t>
      </w:r>
      <w:r w:rsidRPr="00C267E9">
        <w:rPr>
          <w:rFonts w:ascii="Calibri" w:hAnsi="Calibri"/>
          <w:b/>
          <w:iCs/>
          <w:u w:val="single"/>
        </w:rPr>
        <w:t>PCDAI</w:t>
      </w:r>
      <w:r w:rsidRPr="00C267E9">
        <w:rPr>
          <w:rFonts w:ascii="Calibri" w:hAnsi="Calibri"/>
          <w:b/>
          <w:u w:val="single"/>
        </w:rPr>
        <w:t>)</w:t>
      </w:r>
      <w:r w:rsidRPr="00C267E9">
        <w:rPr>
          <w:rFonts w:ascii="Calibri" w:hAnsi="Calibri"/>
        </w:rPr>
        <w:t xml:space="preserve">: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  <w:iCs/>
        </w:rPr>
        <w:t xml:space="preserve">Purpose of Use: </w:t>
      </w:r>
      <w:r w:rsidRPr="00C267E9">
        <w:rPr>
          <w:rFonts w:ascii="Calibri" w:hAnsi="Calibri"/>
        </w:rPr>
        <w:t xml:space="preserve">The PCDAI assesses </w:t>
      </w:r>
      <w:proofErr w:type="spellStart"/>
      <w:r w:rsidRPr="00C267E9">
        <w:rPr>
          <w:rFonts w:ascii="Calibri" w:hAnsi="Calibri"/>
        </w:rPr>
        <w:t>Crohn’s</w:t>
      </w:r>
      <w:proofErr w:type="spellEnd"/>
      <w:r w:rsidRPr="00C267E9">
        <w:rPr>
          <w:rFonts w:ascii="Calibri" w:hAnsi="Calibri"/>
        </w:rPr>
        <w:t xml:space="preserve"> disease activity using both subjective (e.g., pain) and objective criteria (e.g., physical exam), laboratory findings (e.g., </w:t>
      </w:r>
      <w:proofErr w:type="spellStart"/>
      <w:r w:rsidRPr="00C267E9">
        <w:rPr>
          <w:rFonts w:ascii="Calibri" w:hAnsi="Calibri"/>
        </w:rPr>
        <w:t>hematocrit</w:t>
      </w:r>
      <w:proofErr w:type="spellEnd"/>
      <w:r w:rsidRPr="00C267E9">
        <w:rPr>
          <w:rFonts w:ascii="Calibri" w:hAnsi="Calibri"/>
        </w:rPr>
        <w:t xml:space="preserve">, erythrocyte sedimentation rate, albumin), and growth parameters. Scores range from 0-100: ≤10 = inactive disease; 11-30 = mild disease, and &gt; 30 = moderate-to-severe disease activity.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  <w:iCs/>
        </w:rPr>
        <w:t>Psychometric Properties:</w:t>
      </w:r>
      <w:r w:rsidRPr="00C267E9">
        <w:rPr>
          <w:rFonts w:ascii="Calibri" w:hAnsi="Calibri"/>
        </w:rPr>
        <w:t xml:space="preserve"> The PCDAI is well validated</w:t>
      </w:r>
      <w:r>
        <w:rPr>
          <w:rFonts w:ascii="Calibri" w:hAnsi="Calibri"/>
        </w:rPr>
        <w:t>,</w:t>
      </w:r>
      <w:r w:rsidRPr="00C267E9">
        <w:rPr>
          <w:rFonts w:ascii="Calibri" w:hAnsi="Calibri"/>
        </w:rPr>
        <w:t xml:space="preserve"> has good reliability</w:t>
      </w:r>
      <w:r>
        <w:rPr>
          <w:rFonts w:ascii="Calibri" w:hAnsi="Calibri"/>
        </w:rPr>
        <w:t xml:space="preserve">, and demonstrates high correlations with physicians’ global assessments (r = 0.80; </w:t>
      </w:r>
      <w:proofErr w:type="spellStart"/>
      <w:r>
        <w:rPr>
          <w:rFonts w:ascii="Calibri" w:hAnsi="Calibri"/>
        </w:rPr>
        <w:t>Hyams</w:t>
      </w:r>
      <w:proofErr w:type="spellEnd"/>
      <w:r>
        <w:rPr>
          <w:rFonts w:ascii="Calibri" w:hAnsi="Calibri"/>
        </w:rPr>
        <w:t xml:space="preserve"> et al., 1991)</w:t>
      </w:r>
      <w:r w:rsidRPr="00C267E9">
        <w:rPr>
          <w:rFonts w:ascii="Calibri" w:hAnsi="Calibri"/>
        </w:rPr>
        <w:t xml:space="preserve">. It has also been shown to be </w:t>
      </w:r>
      <w:r w:rsidRPr="00C267E9">
        <w:rPr>
          <w:rFonts w:ascii="Calibri" w:hAnsi="Calibri" w:cs="Arial"/>
        </w:rPr>
        <w:t>responsive to improvement</w:t>
      </w:r>
      <w:r>
        <w:rPr>
          <w:rFonts w:ascii="Calibri" w:hAnsi="Calibri" w:cs="Arial"/>
        </w:rPr>
        <w:t>s</w:t>
      </w:r>
      <w:r w:rsidRPr="00C267E9">
        <w:rPr>
          <w:rFonts w:ascii="Calibri" w:hAnsi="Calibri" w:cs="Arial"/>
        </w:rPr>
        <w:t xml:space="preserve"> in disease activity in CD patients over a short interval</w:t>
      </w:r>
      <w:r>
        <w:rPr>
          <w:rFonts w:ascii="Calibri" w:hAnsi="Calibri" w:cs="Arial"/>
        </w:rPr>
        <w:t xml:space="preserve"> (</w:t>
      </w:r>
      <w:proofErr w:type="spellStart"/>
      <w:r>
        <w:rPr>
          <w:rFonts w:ascii="Calibri" w:hAnsi="Calibri" w:cs="Arial"/>
        </w:rPr>
        <w:t>Kundhal</w:t>
      </w:r>
      <w:proofErr w:type="spellEnd"/>
      <w:r>
        <w:rPr>
          <w:rFonts w:ascii="Calibri" w:hAnsi="Calibri" w:cs="Arial"/>
        </w:rPr>
        <w:t xml:space="preserve"> et al., 2003)</w:t>
      </w:r>
      <w:r w:rsidRPr="00C267E9">
        <w:rPr>
          <w:rFonts w:ascii="Calibri" w:hAnsi="Calibri"/>
        </w:rPr>
        <w:t xml:space="preserve">. </w:t>
      </w:r>
    </w:p>
    <w:p w:rsidR="00600C86" w:rsidRPr="00C267E9" w:rsidRDefault="00600C86" w:rsidP="00600C86">
      <w:pPr>
        <w:ind w:left="720"/>
        <w:rPr>
          <w:rFonts w:ascii="Calibri" w:hAnsi="Calibri"/>
          <w:highlight w:val="yellow"/>
        </w:rPr>
      </w:pPr>
      <w:proofErr w:type="gramStart"/>
      <w:r w:rsidRPr="00C267E9">
        <w:rPr>
          <w:rFonts w:ascii="Calibri" w:hAnsi="Calibri"/>
          <w:b/>
        </w:rPr>
        <w:t xml:space="preserve">Suggested Next Steps for Validation: </w:t>
      </w:r>
      <w:r w:rsidRPr="00C267E9">
        <w:rPr>
          <w:rFonts w:ascii="Calibri" w:hAnsi="Calibri"/>
        </w:rPr>
        <w:t xml:space="preserve">PCDAI requires determinations that are not always completed during routine patient care, including height velocity, analysis of lab tests, and aspects of physical exam (e.g., </w:t>
      </w:r>
      <w:proofErr w:type="spellStart"/>
      <w:r w:rsidRPr="00C267E9">
        <w:rPr>
          <w:rFonts w:ascii="Calibri" w:hAnsi="Calibri"/>
        </w:rPr>
        <w:t>perirectal</w:t>
      </w:r>
      <w:proofErr w:type="spellEnd"/>
      <w:r w:rsidRPr="00C267E9">
        <w:rPr>
          <w:rFonts w:ascii="Calibri" w:hAnsi="Calibri"/>
        </w:rPr>
        <w:t xml:space="preserve"> exam).</w:t>
      </w:r>
      <w:proofErr w:type="gramEnd"/>
      <w:r w:rsidRPr="00C267E9">
        <w:rPr>
          <w:rFonts w:ascii="Calibri" w:hAnsi="Calibri"/>
        </w:rPr>
        <w:t xml:space="preserve"> There is some evidence that a Short PCDAI version that covers abdominal pain, patient functioning/ general well-being , stools, weight, abdominal exam, and </w:t>
      </w:r>
      <w:proofErr w:type="spellStart"/>
      <w:r w:rsidRPr="00C267E9">
        <w:rPr>
          <w:rFonts w:ascii="Calibri" w:hAnsi="Calibri"/>
        </w:rPr>
        <w:t>extraintestinal</w:t>
      </w:r>
      <w:proofErr w:type="spellEnd"/>
      <w:r w:rsidRPr="00C267E9">
        <w:rPr>
          <w:rFonts w:ascii="Calibri" w:hAnsi="Calibri"/>
        </w:rPr>
        <w:t xml:space="preserve"> manifestations is more feasible to the full scale and discriminates between disease severity in a manner similar to full scale. Further validation of the Short PCDAI is needed. </w:t>
      </w:r>
    </w:p>
    <w:p w:rsidR="00600C86" w:rsidRPr="00C267E9" w:rsidRDefault="00600C86" w:rsidP="00600C86">
      <w:pPr>
        <w:ind w:left="720"/>
        <w:rPr>
          <w:rFonts w:ascii="Calibri" w:hAnsi="Calibri"/>
          <w:b/>
        </w:rPr>
      </w:pPr>
      <w:r w:rsidRPr="00C267E9">
        <w:rPr>
          <w:rFonts w:ascii="Calibri" w:hAnsi="Calibri"/>
          <w:b/>
        </w:rPr>
        <w:t>Citations:</w:t>
      </w:r>
    </w:p>
    <w:p w:rsidR="00600C86" w:rsidRPr="00C267E9" w:rsidRDefault="00600C86" w:rsidP="00600C86">
      <w:pPr>
        <w:numPr>
          <w:ilvl w:val="1"/>
          <w:numId w:val="1"/>
        </w:numPr>
        <w:rPr>
          <w:rFonts w:ascii="Calibri" w:hAnsi="Calibri"/>
        </w:rPr>
      </w:pPr>
      <w:proofErr w:type="spellStart"/>
      <w:r w:rsidRPr="00C267E9">
        <w:rPr>
          <w:rFonts w:ascii="Calibri" w:hAnsi="Calibri"/>
        </w:rPr>
        <w:lastRenderedPageBreak/>
        <w:t>Hyams</w:t>
      </w:r>
      <w:proofErr w:type="spellEnd"/>
      <w:r w:rsidRPr="00C267E9">
        <w:rPr>
          <w:rFonts w:ascii="Calibri" w:hAnsi="Calibri"/>
        </w:rPr>
        <w:t xml:space="preserve"> JS, et al. </w:t>
      </w:r>
      <w:r w:rsidRPr="00C267E9">
        <w:rPr>
          <w:rFonts w:ascii="Calibri" w:hAnsi="Calibri"/>
          <w:iCs/>
        </w:rPr>
        <w:t xml:space="preserve">Development and validation of a pediatric </w:t>
      </w:r>
      <w:proofErr w:type="spellStart"/>
      <w:r w:rsidRPr="00C267E9">
        <w:rPr>
          <w:rFonts w:ascii="Calibri" w:hAnsi="Calibri"/>
          <w:iCs/>
        </w:rPr>
        <w:t>Crohn's</w:t>
      </w:r>
      <w:proofErr w:type="spellEnd"/>
      <w:r w:rsidRPr="00C267E9">
        <w:rPr>
          <w:rFonts w:ascii="Calibri" w:hAnsi="Calibri"/>
          <w:iCs/>
        </w:rPr>
        <w:t xml:space="preserve"> disease activity index</w:t>
      </w:r>
      <w:r w:rsidRPr="00C267E9">
        <w:rPr>
          <w:rFonts w:ascii="Calibri" w:hAnsi="Calibri"/>
          <w:i/>
          <w:iCs/>
        </w:rPr>
        <w:t xml:space="preserve">. </w:t>
      </w:r>
      <w:r w:rsidRPr="00C267E9">
        <w:rPr>
          <w:rFonts w:ascii="Calibri" w:hAnsi="Calibri"/>
          <w:i/>
        </w:rPr>
        <w:t xml:space="preserve">J </w:t>
      </w:r>
      <w:proofErr w:type="spellStart"/>
      <w:r w:rsidRPr="00C267E9">
        <w:rPr>
          <w:rFonts w:ascii="Calibri" w:hAnsi="Calibri"/>
          <w:i/>
        </w:rPr>
        <w:t>Pediatr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Gastroenterol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Nutr</w:t>
      </w:r>
      <w:proofErr w:type="spellEnd"/>
      <w:r w:rsidRPr="00C267E9">
        <w:rPr>
          <w:rFonts w:ascii="Calibri" w:hAnsi="Calibri"/>
        </w:rPr>
        <w:t>. 1991</w:t>
      </w:r>
      <w:proofErr w:type="gramStart"/>
      <w:r w:rsidRPr="00C267E9">
        <w:rPr>
          <w:rFonts w:ascii="Calibri" w:hAnsi="Calibri"/>
        </w:rPr>
        <w:t>;</w:t>
      </w:r>
      <w:r w:rsidRPr="00C267E9">
        <w:rPr>
          <w:rFonts w:ascii="Calibri" w:hAnsi="Calibri"/>
          <w:bCs/>
        </w:rPr>
        <w:t>12</w:t>
      </w:r>
      <w:r w:rsidRPr="00C267E9">
        <w:rPr>
          <w:rFonts w:ascii="Calibri" w:hAnsi="Calibri"/>
        </w:rPr>
        <w:t>:439</w:t>
      </w:r>
      <w:proofErr w:type="gramEnd"/>
      <w:r w:rsidRPr="00C267E9">
        <w:rPr>
          <w:rFonts w:ascii="Calibri" w:hAnsi="Calibri"/>
        </w:rPr>
        <w:t xml:space="preserve">-47. </w:t>
      </w:r>
    </w:p>
    <w:p w:rsidR="00600C86" w:rsidRPr="00C267E9" w:rsidRDefault="00600C86" w:rsidP="00600C86">
      <w:pPr>
        <w:numPr>
          <w:ilvl w:val="1"/>
          <w:numId w:val="1"/>
        </w:numPr>
        <w:rPr>
          <w:rFonts w:ascii="Calibri" w:hAnsi="Calibri"/>
        </w:rPr>
      </w:pPr>
      <w:proofErr w:type="spellStart"/>
      <w:r w:rsidRPr="00C267E9">
        <w:rPr>
          <w:rFonts w:ascii="Calibri" w:hAnsi="Calibri"/>
        </w:rPr>
        <w:t>Hyams</w:t>
      </w:r>
      <w:proofErr w:type="spellEnd"/>
      <w:r w:rsidRPr="00C267E9">
        <w:rPr>
          <w:rFonts w:ascii="Calibri" w:hAnsi="Calibri"/>
        </w:rPr>
        <w:t xml:space="preserve"> JS, et al. </w:t>
      </w:r>
      <w:r w:rsidRPr="00C267E9">
        <w:rPr>
          <w:rFonts w:ascii="Calibri" w:hAnsi="Calibri"/>
          <w:iCs/>
        </w:rPr>
        <w:t xml:space="preserve">Evaluation of the pediatric </w:t>
      </w:r>
      <w:proofErr w:type="spellStart"/>
      <w:r w:rsidRPr="00C267E9">
        <w:rPr>
          <w:rFonts w:ascii="Calibri" w:hAnsi="Calibri"/>
          <w:iCs/>
        </w:rPr>
        <w:t>Crohn</w:t>
      </w:r>
      <w:proofErr w:type="spellEnd"/>
      <w:r w:rsidRPr="00C267E9">
        <w:rPr>
          <w:rFonts w:ascii="Calibri" w:hAnsi="Calibri"/>
          <w:iCs/>
        </w:rPr>
        <w:t xml:space="preserve"> disease activity index: A prospective multicenter experience</w:t>
      </w:r>
      <w:r w:rsidRPr="00C267E9">
        <w:rPr>
          <w:rFonts w:ascii="Calibri" w:hAnsi="Calibri"/>
          <w:i/>
          <w:iCs/>
        </w:rPr>
        <w:t xml:space="preserve">. </w:t>
      </w:r>
      <w:r w:rsidRPr="00C267E9">
        <w:rPr>
          <w:rFonts w:ascii="Calibri" w:hAnsi="Calibri"/>
          <w:i/>
        </w:rPr>
        <w:t xml:space="preserve">J </w:t>
      </w:r>
      <w:proofErr w:type="spellStart"/>
      <w:r w:rsidRPr="00C267E9">
        <w:rPr>
          <w:rFonts w:ascii="Calibri" w:hAnsi="Calibri"/>
          <w:i/>
        </w:rPr>
        <w:t>Pediatr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Gastroenterol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Nutr</w:t>
      </w:r>
      <w:proofErr w:type="spellEnd"/>
      <w:r w:rsidRPr="00C267E9">
        <w:rPr>
          <w:rFonts w:ascii="Calibri" w:hAnsi="Calibri"/>
        </w:rPr>
        <w:t>. 2005</w:t>
      </w:r>
      <w:proofErr w:type="gramStart"/>
      <w:r w:rsidRPr="00C267E9">
        <w:rPr>
          <w:rFonts w:ascii="Calibri" w:hAnsi="Calibri"/>
        </w:rPr>
        <w:t>;</w:t>
      </w:r>
      <w:r w:rsidRPr="00C267E9">
        <w:rPr>
          <w:rFonts w:ascii="Calibri" w:hAnsi="Calibri"/>
          <w:bCs/>
        </w:rPr>
        <w:t>41</w:t>
      </w:r>
      <w:proofErr w:type="gramEnd"/>
      <w:r w:rsidRPr="00C267E9">
        <w:rPr>
          <w:rFonts w:ascii="Calibri" w:hAnsi="Calibri"/>
        </w:rPr>
        <w:t>: 416-421.</w:t>
      </w:r>
    </w:p>
    <w:p w:rsidR="00600C86" w:rsidRPr="00C267E9" w:rsidRDefault="00600C86" w:rsidP="00600C86">
      <w:pPr>
        <w:numPr>
          <w:ilvl w:val="1"/>
          <w:numId w:val="1"/>
        </w:numPr>
        <w:rPr>
          <w:rFonts w:ascii="Calibri" w:hAnsi="Calibri"/>
        </w:rPr>
      </w:pPr>
      <w:proofErr w:type="spellStart"/>
      <w:r w:rsidRPr="00C267E9">
        <w:rPr>
          <w:rFonts w:ascii="Calibri" w:hAnsi="Calibri"/>
        </w:rPr>
        <w:t>Shepanski</w:t>
      </w:r>
      <w:proofErr w:type="spellEnd"/>
      <w:r w:rsidRPr="00C267E9">
        <w:rPr>
          <w:rFonts w:ascii="Calibri" w:hAnsi="Calibri"/>
        </w:rPr>
        <w:t xml:space="preserve"> MA, Markowitz JE, </w:t>
      </w:r>
      <w:proofErr w:type="spellStart"/>
      <w:r w:rsidRPr="00C267E9">
        <w:rPr>
          <w:rFonts w:ascii="Calibri" w:hAnsi="Calibri"/>
        </w:rPr>
        <w:t>Mamula</w:t>
      </w:r>
      <w:proofErr w:type="spellEnd"/>
      <w:r w:rsidRPr="00C267E9">
        <w:rPr>
          <w:rFonts w:ascii="Calibri" w:hAnsi="Calibri"/>
        </w:rPr>
        <w:t xml:space="preserve"> P, </w:t>
      </w:r>
      <w:proofErr w:type="spellStart"/>
      <w:r w:rsidRPr="00C267E9">
        <w:rPr>
          <w:rFonts w:ascii="Calibri" w:hAnsi="Calibri"/>
        </w:rPr>
        <w:t>Hurd</w:t>
      </w:r>
      <w:proofErr w:type="spellEnd"/>
      <w:r w:rsidRPr="00C267E9">
        <w:rPr>
          <w:rFonts w:ascii="Calibri" w:hAnsi="Calibri"/>
        </w:rPr>
        <w:t xml:space="preserve"> LB, </w:t>
      </w:r>
      <w:proofErr w:type="spellStart"/>
      <w:r w:rsidRPr="00C267E9">
        <w:rPr>
          <w:rFonts w:ascii="Calibri" w:hAnsi="Calibri"/>
        </w:rPr>
        <w:t>Baldassano</w:t>
      </w:r>
      <w:proofErr w:type="spellEnd"/>
      <w:r w:rsidRPr="00C267E9">
        <w:rPr>
          <w:rFonts w:ascii="Calibri" w:hAnsi="Calibri"/>
        </w:rPr>
        <w:t xml:space="preserve"> RN. Is an abbreviated pediatric </w:t>
      </w:r>
      <w:proofErr w:type="spellStart"/>
      <w:r w:rsidRPr="00C267E9">
        <w:rPr>
          <w:rFonts w:ascii="Calibri" w:hAnsi="Calibri"/>
        </w:rPr>
        <w:t>Crohn’s</w:t>
      </w:r>
      <w:proofErr w:type="spellEnd"/>
      <w:r w:rsidRPr="00C267E9">
        <w:rPr>
          <w:rFonts w:ascii="Calibri" w:hAnsi="Calibri"/>
        </w:rPr>
        <w:t xml:space="preserve"> disease activity index better than the original? </w:t>
      </w:r>
      <w:r w:rsidRPr="00C267E9">
        <w:rPr>
          <w:rFonts w:ascii="Calibri" w:hAnsi="Calibri"/>
          <w:i/>
        </w:rPr>
        <w:t xml:space="preserve">J </w:t>
      </w:r>
      <w:proofErr w:type="spellStart"/>
      <w:r w:rsidRPr="00C267E9">
        <w:rPr>
          <w:rFonts w:ascii="Calibri" w:hAnsi="Calibri"/>
          <w:i/>
        </w:rPr>
        <w:t>Pediatr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Gastroenterol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Nutr</w:t>
      </w:r>
      <w:proofErr w:type="spellEnd"/>
      <w:r w:rsidRPr="00C267E9">
        <w:rPr>
          <w:rFonts w:ascii="Calibri" w:hAnsi="Calibri"/>
          <w:i/>
        </w:rPr>
        <w:t>.</w:t>
      </w:r>
      <w:r w:rsidRPr="00C267E9">
        <w:rPr>
          <w:rFonts w:ascii="Calibri" w:hAnsi="Calibri"/>
        </w:rPr>
        <w:t xml:space="preserve"> 2004</w:t>
      </w:r>
      <w:proofErr w:type="gramStart"/>
      <w:r w:rsidRPr="00C267E9">
        <w:rPr>
          <w:rFonts w:ascii="Calibri" w:hAnsi="Calibri"/>
        </w:rPr>
        <w:t>;39:68</w:t>
      </w:r>
      <w:proofErr w:type="gramEnd"/>
      <w:r w:rsidRPr="00C267E9">
        <w:rPr>
          <w:rFonts w:ascii="Calibri" w:hAnsi="Calibri"/>
        </w:rPr>
        <w:t>-72.</w:t>
      </w:r>
    </w:p>
    <w:p w:rsidR="00600C86" w:rsidRDefault="00600C86" w:rsidP="00600C86">
      <w:pPr>
        <w:numPr>
          <w:ilvl w:val="1"/>
          <w:numId w:val="1"/>
        </w:numPr>
        <w:rPr>
          <w:rFonts w:ascii="Calibri" w:hAnsi="Calibri"/>
        </w:rPr>
      </w:pPr>
      <w:proofErr w:type="spellStart"/>
      <w:r w:rsidRPr="00C267E9">
        <w:rPr>
          <w:rFonts w:ascii="Calibri" w:hAnsi="Calibri"/>
        </w:rPr>
        <w:t>Kundhal</w:t>
      </w:r>
      <w:proofErr w:type="spellEnd"/>
      <w:r w:rsidRPr="00C267E9">
        <w:rPr>
          <w:rFonts w:ascii="Calibri" w:hAnsi="Calibri"/>
        </w:rPr>
        <w:t xml:space="preserve"> PS, </w:t>
      </w:r>
      <w:proofErr w:type="spellStart"/>
      <w:r w:rsidRPr="00C267E9">
        <w:rPr>
          <w:rFonts w:ascii="Calibri" w:hAnsi="Calibri"/>
        </w:rPr>
        <w:t>Critch</w:t>
      </w:r>
      <w:proofErr w:type="spellEnd"/>
      <w:r w:rsidRPr="00C267E9">
        <w:rPr>
          <w:rFonts w:ascii="Calibri" w:hAnsi="Calibri"/>
        </w:rPr>
        <w:t xml:space="preserve"> JN, </w:t>
      </w:r>
      <w:proofErr w:type="spellStart"/>
      <w:r w:rsidRPr="00C267E9">
        <w:rPr>
          <w:rFonts w:ascii="Calibri" w:hAnsi="Calibri"/>
        </w:rPr>
        <w:t>Zachos</w:t>
      </w:r>
      <w:proofErr w:type="spellEnd"/>
      <w:r w:rsidRPr="00C267E9">
        <w:rPr>
          <w:rFonts w:ascii="Calibri" w:hAnsi="Calibri"/>
        </w:rPr>
        <w:t xml:space="preserve"> M, </w:t>
      </w:r>
      <w:proofErr w:type="spellStart"/>
      <w:r w:rsidRPr="00C267E9">
        <w:rPr>
          <w:rFonts w:ascii="Calibri" w:hAnsi="Calibri"/>
        </w:rPr>
        <w:t>Otley</w:t>
      </w:r>
      <w:proofErr w:type="spellEnd"/>
      <w:r w:rsidRPr="00C267E9">
        <w:rPr>
          <w:rFonts w:ascii="Calibri" w:hAnsi="Calibri"/>
        </w:rPr>
        <w:t xml:space="preserve"> AR, Stephens D, Griffiths AM. Pediatric </w:t>
      </w:r>
      <w:proofErr w:type="spellStart"/>
      <w:r w:rsidRPr="00C267E9">
        <w:rPr>
          <w:rFonts w:ascii="Calibri" w:hAnsi="Calibri"/>
        </w:rPr>
        <w:t>Crohn</w:t>
      </w:r>
      <w:proofErr w:type="spellEnd"/>
      <w:r w:rsidRPr="00C267E9">
        <w:rPr>
          <w:rFonts w:ascii="Calibri" w:hAnsi="Calibri"/>
        </w:rPr>
        <w:t xml:space="preserve"> Disease Activity Index: Responsive to short-term change. </w:t>
      </w:r>
      <w:r w:rsidRPr="00C267E9">
        <w:rPr>
          <w:rFonts w:ascii="Calibri" w:hAnsi="Calibri"/>
          <w:i/>
        </w:rPr>
        <w:t xml:space="preserve">J </w:t>
      </w:r>
      <w:proofErr w:type="spellStart"/>
      <w:r w:rsidRPr="00C267E9">
        <w:rPr>
          <w:rFonts w:ascii="Calibri" w:hAnsi="Calibri"/>
          <w:i/>
        </w:rPr>
        <w:t>Pediatr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Gastroenterol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Nutr</w:t>
      </w:r>
      <w:proofErr w:type="spellEnd"/>
      <w:r w:rsidRPr="00C267E9">
        <w:rPr>
          <w:rFonts w:ascii="Calibri" w:hAnsi="Calibri"/>
          <w:i/>
        </w:rPr>
        <w:t>.</w:t>
      </w:r>
      <w:r w:rsidRPr="00C267E9">
        <w:rPr>
          <w:rFonts w:ascii="Calibri" w:hAnsi="Calibri"/>
        </w:rPr>
        <w:t xml:space="preserve"> 2003</w:t>
      </w:r>
      <w:proofErr w:type="gramStart"/>
      <w:r w:rsidRPr="00C267E9">
        <w:rPr>
          <w:rFonts w:ascii="Calibri" w:hAnsi="Calibri"/>
        </w:rPr>
        <w:t>;36:83</w:t>
      </w:r>
      <w:proofErr w:type="gramEnd"/>
      <w:r w:rsidRPr="00C267E9">
        <w:rPr>
          <w:rFonts w:ascii="Calibri" w:hAnsi="Calibri"/>
        </w:rPr>
        <w:t>-89.</w:t>
      </w:r>
    </w:p>
    <w:p w:rsidR="00600C86" w:rsidRPr="00C267E9" w:rsidRDefault="00600C86" w:rsidP="00600C86">
      <w:pPr>
        <w:ind w:left="1080"/>
        <w:rPr>
          <w:rFonts w:ascii="Calibri" w:hAnsi="Calibri"/>
        </w:rPr>
      </w:pPr>
    </w:p>
    <w:p w:rsidR="00600C86" w:rsidRPr="00C267E9" w:rsidRDefault="00600C86" w:rsidP="00600C86">
      <w:pPr>
        <w:numPr>
          <w:ilvl w:val="0"/>
          <w:numId w:val="1"/>
        </w:numPr>
        <w:rPr>
          <w:rFonts w:ascii="Calibri" w:hAnsi="Calibri"/>
        </w:rPr>
      </w:pPr>
      <w:r w:rsidRPr="00C267E9">
        <w:rPr>
          <w:rFonts w:ascii="Calibri" w:hAnsi="Calibri"/>
          <w:b/>
          <w:caps/>
        </w:rPr>
        <w:t xml:space="preserve">DISEASE </w:t>
      </w:r>
      <w:r>
        <w:rPr>
          <w:rFonts w:ascii="Calibri" w:hAnsi="Calibri"/>
          <w:b/>
          <w:caps/>
        </w:rPr>
        <w:t>ACTIVITY</w:t>
      </w:r>
      <w:r w:rsidRPr="00C267E9">
        <w:rPr>
          <w:rFonts w:ascii="Calibri" w:hAnsi="Calibri"/>
          <w:b/>
          <w:caps/>
        </w:rPr>
        <w:t>- Ulcerative Colitis</w:t>
      </w:r>
      <w:r w:rsidRPr="00C267E9">
        <w:rPr>
          <w:rFonts w:ascii="Calibri" w:hAnsi="Calibri"/>
        </w:rPr>
        <w:t>:</w:t>
      </w:r>
    </w:p>
    <w:p w:rsidR="00600C86" w:rsidRPr="00C267E9" w:rsidRDefault="00600C86" w:rsidP="00600C86">
      <w:pPr>
        <w:numPr>
          <w:ilvl w:val="2"/>
          <w:numId w:val="1"/>
        </w:numPr>
        <w:tabs>
          <w:tab w:val="clear" w:pos="1800"/>
          <w:tab w:val="num" w:pos="720"/>
        </w:tabs>
        <w:ind w:left="720"/>
        <w:rPr>
          <w:rFonts w:ascii="Calibri" w:hAnsi="Calibri"/>
        </w:rPr>
      </w:pPr>
      <w:r w:rsidRPr="00C267E9">
        <w:rPr>
          <w:rFonts w:ascii="Calibri" w:hAnsi="Calibri" w:cs="Arial"/>
          <w:b/>
          <w:u w:val="single"/>
        </w:rPr>
        <w:t>Pediatric Ulcerative Colitis Activity Index (PUCAI)</w:t>
      </w:r>
      <w:r w:rsidRPr="00C267E9">
        <w:rPr>
          <w:rFonts w:ascii="Calibri" w:hAnsi="Calibri" w:cs="Arial"/>
        </w:rPr>
        <w:t>:</w:t>
      </w:r>
      <w:r w:rsidRPr="00C267E9">
        <w:rPr>
          <w:rFonts w:ascii="Calibri" w:hAnsi="Calibri" w:cs="Arial"/>
          <w:i/>
        </w:rPr>
        <w:t xml:space="preserve"> </w:t>
      </w:r>
    </w:p>
    <w:p w:rsidR="00600C86" w:rsidRDefault="00600C86" w:rsidP="00600C86">
      <w:pPr>
        <w:ind w:left="720"/>
        <w:rPr>
          <w:rFonts w:ascii="Calibri" w:hAnsi="Calibri" w:cs="Arial"/>
        </w:rPr>
      </w:pPr>
      <w:r w:rsidRPr="00C267E9">
        <w:rPr>
          <w:rFonts w:ascii="Calibri" w:hAnsi="Calibri"/>
          <w:b/>
        </w:rPr>
        <w:t xml:space="preserve">Purpose of Use: </w:t>
      </w:r>
      <w:r w:rsidRPr="00C267E9">
        <w:rPr>
          <w:rFonts w:ascii="Calibri" w:hAnsi="Calibri" w:cs="Arial"/>
        </w:rPr>
        <w:t xml:space="preserve">The PUCAI is a 6-item measure of disease severity for patients with ulcerative colitis. An interview format allows patients to report on 6 typical symptoms of ulcerative colitis including abdominal pain, rectal bleeding, </w:t>
      </w:r>
      <w:proofErr w:type="gramStart"/>
      <w:r w:rsidRPr="00C267E9">
        <w:rPr>
          <w:rFonts w:ascii="Calibri" w:hAnsi="Calibri" w:cs="Arial"/>
        </w:rPr>
        <w:t>stool</w:t>
      </w:r>
      <w:proofErr w:type="gramEnd"/>
      <w:r w:rsidRPr="00C267E9">
        <w:rPr>
          <w:rFonts w:ascii="Calibri" w:hAnsi="Calibri" w:cs="Arial"/>
        </w:rPr>
        <w:t xml:space="preserve"> consistency of most stools, number of stools per 24 hours, nocturnal stools, and activity level. A total score is obtained by summing the 6 items, resulting in a range of 0-85 with a higher score representing more severe disease (i.e., 0-9 = inactive; 10-34 = mild; 35-64 = moderate; ≥ 65 = severe disease).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 w:cs="Arial"/>
          <w:b/>
        </w:rPr>
        <w:t xml:space="preserve">Psychometric Properties: </w:t>
      </w:r>
      <w:r w:rsidRPr="00C267E9">
        <w:rPr>
          <w:rFonts w:ascii="Calibri" w:hAnsi="Calibri" w:cs="Arial"/>
        </w:rPr>
        <w:t xml:space="preserve">The PUCAI has demonstrated good reliability and validity in prior research, is feasible, and can be used as a primary outcome measure of disease activity. </w:t>
      </w:r>
      <w:r>
        <w:rPr>
          <w:rFonts w:ascii="Calibri" w:hAnsi="Calibri" w:cs="Arial"/>
        </w:rPr>
        <w:t xml:space="preserve">In the original validation sample of 48 children with UC, the PUCAI demonstrated high correlations with physician global assessments (r = 0.91) and </w:t>
      </w:r>
      <w:proofErr w:type="spellStart"/>
      <w:r>
        <w:rPr>
          <w:rFonts w:ascii="Calibri" w:hAnsi="Calibri" w:cs="Arial"/>
        </w:rPr>
        <w:t>colonoscopic</w:t>
      </w:r>
      <w:proofErr w:type="spellEnd"/>
      <w:r>
        <w:rPr>
          <w:rFonts w:ascii="Calibri" w:hAnsi="Calibri" w:cs="Arial"/>
        </w:rPr>
        <w:t xml:space="preserve"> appearance (r = 0.71), and significantly differentiated between disease severity (none, mild, moderate, severe) (Turner et al., 2007). A re-evaluation of the PUCAI’s psychometric properties on 215 young patients with UC demonstrated similar findings (Turner et al., 2009). </w:t>
      </w:r>
    </w:p>
    <w:p w:rsidR="00600C86" w:rsidRPr="00C267E9" w:rsidRDefault="00600C86" w:rsidP="00600C86">
      <w:pPr>
        <w:ind w:left="720"/>
        <w:rPr>
          <w:rFonts w:ascii="Calibri" w:hAnsi="Calibri" w:cs="Arial"/>
        </w:rPr>
      </w:pPr>
      <w:proofErr w:type="gramStart"/>
      <w:r w:rsidRPr="00C267E9">
        <w:rPr>
          <w:rFonts w:ascii="Calibri" w:hAnsi="Calibri" w:cs="Arial"/>
          <w:b/>
        </w:rPr>
        <w:t xml:space="preserve">Suggested Next Steps for Validations: </w:t>
      </w:r>
      <w:r w:rsidRPr="00C267E9">
        <w:rPr>
          <w:rFonts w:ascii="Calibri" w:hAnsi="Calibri" w:cs="Arial"/>
        </w:rPr>
        <w:t>Further validation is encouraged.</w:t>
      </w:r>
      <w:proofErr w:type="gramEnd"/>
      <w:r w:rsidRPr="00C267E9">
        <w:rPr>
          <w:rFonts w:ascii="Calibri" w:hAnsi="Calibri" w:cs="Arial"/>
        </w:rPr>
        <w:t xml:space="preserve">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 w:cs="Arial"/>
          <w:b/>
        </w:rPr>
        <w:t xml:space="preserve">Citations: </w:t>
      </w:r>
    </w:p>
    <w:p w:rsidR="00600C86" w:rsidRPr="00C267E9" w:rsidRDefault="00600C86" w:rsidP="00600C86">
      <w:pPr>
        <w:numPr>
          <w:ilvl w:val="1"/>
          <w:numId w:val="1"/>
        </w:numPr>
        <w:rPr>
          <w:rFonts w:ascii="Calibri" w:hAnsi="Calibri"/>
        </w:rPr>
      </w:pPr>
      <w:r w:rsidRPr="00C267E9">
        <w:rPr>
          <w:rFonts w:ascii="Calibri" w:hAnsi="Calibri" w:cs="Arial"/>
          <w:noProof/>
        </w:rPr>
        <w:t xml:space="preserve">Turner D, </w:t>
      </w:r>
      <w:smartTag w:uri="urn:schemas-microsoft-com:office:smarttags" w:element="place">
        <w:smartTag w:uri="urn:schemas-microsoft-com:office:smarttags" w:element="City">
          <w:r w:rsidRPr="00C267E9">
            <w:rPr>
              <w:rFonts w:ascii="Calibri" w:hAnsi="Calibri" w:cs="Arial"/>
              <w:noProof/>
            </w:rPr>
            <w:t>Otley</w:t>
          </w:r>
        </w:smartTag>
        <w:r w:rsidRPr="00C267E9">
          <w:rPr>
            <w:rFonts w:ascii="Calibri" w:hAnsi="Calibri" w:cs="Arial"/>
            <w:noProof/>
          </w:rPr>
          <w:t xml:space="preserve"> </w:t>
        </w:r>
        <w:smartTag w:uri="urn:schemas-microsoft-com:office:smarttags" w:element="State">
          <w:r w:rsidRPr="00C267E9">
            <w:rPr>
              <w:rFonts w:ascii="Calibri" w:hAnsi="Calibri" w:cs="Arial"/>
              <w:noProof/>
            </w:rPr>
            <w:t>AR</w:t>
          </w:r>
        </w:smartTag>
      </w:smartTag>
      <w:r w:rsidRPr="00C267E9">
        <w:rPr>
          <w:rFonts w:ascii="Calibri" w:hAnsi="Calibri" w:cs="Arial"/>
          <w:noProof/>
        </w:rPr>
        <w:t xml:space="preserve">, Mack D, et al. Development, validation, and evaluation of a pediatric ulcerative colitis activity index: a prospective multicenter study. </w:t>
      </w:r>
      <w:r w:rsidRPr="00C267E9">
        <w:rPr>
          <w:rFonts w:ascii="Calibri" w:hAnsi="Calibri" w:cs="Arial"/>
          <w:i/>
          <w:noProof/>
        </w:rPr>
        <w:t xml:space="preserve">Gastroenterology. </w:t>
      </w:r>
      <w:r w:rsidRPr="00C267E9">
        <w:rPr>
          <w:rFonts w:ascii="Calibri" w:hAnsi="Calibri" w:cs="Arial"/>
          <w:noProof/>
        </w:rPr>
        <w:t>2007;133:423-432.</w:t>
      </w:r>
    </w:p>
    <w:p w:rsidR="00600C86" w:rsidRPr="002A0597" w:rsidRDefault="00600C86" w:rsidP="00600C86">
      <w:pPr>
        <w:numPr>
          <w:ilvl w:val="1"/>
          <w:numId w:val="1"/>
        </w:numPr>
        <w:rPr>
          <w:rFonts w:ascii="Calibri" w:hAnsi="Calibri"/>
        </w:rPr>
      </w:pPr>
      <w:r w:rsidRPr="00C267E9">
        <w:rPr>
          <w:rFonts w:ascii="Calibri" w:hAnsi="Calibri" w:cs="Arial"/>
          <w:noProof/>
        </w:rPr>
        <w:t xml:space="preserve">Turner D, Hyams J, Markowitz J, et al. Appraisal of the Pediatric Ulcerative Colitis Activity Index (PUCAI). </w:t>
      </w:r>
      <w:r w:rsidRPr="00C267E9">
        <w:rPr>
          <w:rFonts w:ascii="Calibri" w:hAnsi="Calibri" w:cs="Arial"/>
          <w:i/>
          <w:noProof/>
        </w:rPr>
        <w:t>Inflamm Bowel Dis.</w:t>
      </w:r>
      <w:r w:rsidRPr="00C267E9">
        <w:rPr>
          <w:rFonts w:ascii="Calibri" w:hAnsi="Calibri" w:cs="Arial"/>
          <w:noProof/>
        </w:rPr>
        <w:t xml:space="preserve"> 2009;15:1218-1223.</w:t>
      </w:r>
    </w:p>
    <w:p w:rsidR="00600C86" w:rsidRPr="00C267E9" w:rsidRDefault="00600C86" w:rsidP="00600C86">
      <w:pPr>
        <w:ind w:left="1080"/>
        <w:rPr>
          <w:rFonts w:ascii="Calibri" w:hAnsi="Calibri"/>
        </w:rPr>
      </w:pPr>
    </w:p>
    <w:p w:rsidR="00600C86" w:rsidRPr="00C267E9" w:rsidRDefault="00600C86" w:rsidP="00600C86">
      <w:pPr>
        <w:numPr>
          <w:ilvl w:val="0"/>
          <w:numId w:val="5"/>
        </w:numPr>
        <w:tabs>
          <w:tab w:val="clear" w:pos="1800"/>
          <w:tab w:val="num" w:pos="720"/>
          <w:tab w:val="left" w:pos="1710"/>
        </w:tabs>
        <w:ind w:left="720"/>
        <w:rPr>
          <w:rFonts w:ascii="Calibri" w:hAnsi="Calibri"/>
        </w:rPr>
      </w:pPr>
      <w:proofErr w:type="spellStart"/>
      <w:r w:rsidRPr="00C267E9">
        <w:rPr>
          <w:rFonts w:ascii="Calibri" w:hAnsi="Calibri"/>
          <w:b/>
          <w:u w:val="single"/>
        </w:rPr>
        <w:t>Lichtinger</w:t>
      </w:r>
      <w:proofErr w:type="spellEnd"/>
      <w:r w:rsidRPr="00C267E9">
        <w:rPr>
          <w:rFonts w:ascii="Calibri" w:hAnsi="Calibri"/>
          <w:b/>
          <w:u w:val="single"/>
        </w:rPr>
        <w:t xml:space="preserve"> Ulcerative Colitis Clinical Activity Index (LCAI)</w:t>
      </w:r>
      <w:r w:rsidRPr="00C267E9">
        <w:rPr>
          <w:rFonts w:ascii="Calibri" w:hAnsi="Calibri"/>
        </w:rPr>
        <w:t xml:space="preserve">: </w:t>
      </w:r>
    </w:p>
    <w:p w:rsidR="00600C86" w:rsidRPr="00C267E9" w:rsidRDefault="00600C86" w:rsidP="00600C86">
      <w:pPr>
        <w:tabs>
          <w:tab w:val="left" w:pos="1710"/>
        </w:tabs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 xml:space="preserve">Purpose of Use: </w:t>
      </w:r>
      <w:r w:rsidRPr="00C267E9">
        <w:rPr>
          <w:rFonts w:ascii="Calibri" w:hAnsi="Calibri"/>
        </w:rPr>
        <w:t>The LCAI uses both subjective and objective criteria to assess 8 UC symptoms (score 0-21): daily stool frequency, nocturnal diarrhea, visible blood in stool, fecal incontinence, abdominal pain or cramping, general well-being, abdominal tenderness, and need for anti-diarrheal medication, with higher scores representing more severe disease. LCAI scores range from 0-21. Scores ≤ 2 indicate quiescent disease; &lt; 10 indicate a response to therapy; ≥ 10 indicate active disease and no response to therapy.</w:t>
      </w:r>
    </w:p>
    <w:p w:rsidR="00600C86" w:rsidRPr="00C267E9" w:rsidRDefault="00600C86" w:rsidP="00600C86">
      <w:pPr>
        <w:tabs>
          <w:tab w:val="left" w:pos="1710"/>
        </w:tabs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lastRenderedPageBreak/>
        <w:t xml:space="preserve">Psychometric Properties: </w:t>
      </w:r>
      <w:r w:rsidRPr="00C267E9">
        <w:rPr>
          <w:rFonts w:ascii="Calibri" w:hAnsi="Calibri"/>
        </w:rPr>
        <w:t>Among the small number of published manuscripts that have used the LCAI, very few provide psychometric data; available data suggest good reliability (e.g., α = 0.85). The LCAI is easy to administer and relies largely on subjective criteria of disease activity.</w:t>
      </w:r>
    </w:p>
    <w:p w:rsidR="00600C86" w:rsidRPr="00C267E9" w:rsidRDefault="00600C86" w:rsidP="00600C86">
      <w:pPr>
        <w:tabs>
          <w:tab w:val="left" w:pos="1710"/>
        </w:tabs>
        <w:ind w:left="720"/>
        <w:rPr>
          <w:rFonts w:ascii="Calibri" w:hAnsi="Calibri"/>
        </w:rPr>
      </w:pPr>
      <w:proofErr w:type="gramStart"/>
      <w:r w:rsidRPr="00C267E9">
        <w:rPr>
          <w:rFonts w:ascii="Calibri" w:hAnsi="Calibri"/>
          <w:b/>
        </w:rPr>
        <w:t>Suggested Next Steps for Validations:</w:t>
      </w:r>
      <w:r w:rsidRPr="00C267E9">
        <w:rPr>
          <w:rFonts w:ascii="Calibri" w:hAnsi="Calibri"/>
        </w:rPr>
        <w:t xml:space="preserve"> The LCAI can be used in both adults and children; further validation of the LCAI within pediatric UC samples is warranted as psychometric data is scarce.</w:t>
      </w:r>
      <w:proofErr w:type="gramEnd"/>
      <w:r w:rsidRPr="00C267E9">
        <w:rPr>
          <w:rFonts w:ascii="Calibri" w:hAnsi="Calibri"/>
        </w:rPr>
        <w:t xml:space="preserve"> </w:t>
      </w:r>
    </w:p>
    <w:p w:rsidR="00600C86" w:rsidRPr="00C267E9" w:rsidRDefault="00600C86" w:rsidP="00600C86">
      <w:pPr>
        <w:tabs>
          <w:tab w:val="left" w:pos="1710"/>
        </w:tabs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>Citations:</w:t>
      </w:r>
    </w:p>
    <w:p w:rsidR="00600C86" w:rsidRPr="00C267E9" w:rsidRDefault="00600C86" w:rsidP="00600C86">
      <w:pPr>
        <w:numPr>
          <w:ilvl w:val="1"/>
          <w:numId w:val="1"/>
        </w:numPr>
        <w:rPr>
          <w:rFonts w:ascii="Calibri" w:hAnsi="Calibri"/>
        </w:rPr>
      </w:pPr>
      <w:proofErr w:type="spellStart"/>
      <w:r w:rsidRPr="00C267E9">
        <w:rPr>
          <w:rFonts w:ascii="Calibri" w:hAnsi="Calibri"/>
        </w:rPr>
        <w:t>Lichtiger</w:t>
      </w:r>
      <w:proofErr w:type="spellEnd"/>
      <w:r w:rsidRPr="00C267E9">
        <w:rPr>
          <w:rFonts w:ascii="Calibri" w:hAnsi="Calibri"/>
        </w:rPr>
        <w:t xml:space="preserve"> S, et al. </w:t>
      </w:r>
      <w:r w:rsidRPr="00C267E9">
        <w:rPr>
          <w:rFonts w:ascii="Calibri" w:hAnsi="Calibri"/>
          <w:iCs/>
        </w:rPr>
        <w:t>Cyclosporine in severe ulcerative colitis refractory to steroid therapy</w:t>
      </w:r>
      <w:r w:rsidRPr="00C267E9">
        <w:rPr>
          <w:rFonts w:ascii="Calibri" w:hAnsi="Calibri"/>
          <w:i/>
          <w:iCs/>
        </w:rPr>
        <w:t xml:space="preserve">. </w:t>
      </w:r>
      <w:r w:rsidRPr="00C267E9">
        <w:rPr>
          <w:rFonts w:ascii="Calibri" w:hAnsi="Calibri"/>
          <w:i/>
        </w:rPr>
        <w:t xml:space="preserve">N </w:t>
      </w:r>
      <w:proofErr w:type="spellStart"/>
      <w:r w:rsidRPr="00C267E9">
        <w:rPr>
          <w:rFonts w:ascii="Calibri" w:hAnsi="Calibri"/>
          <w:i/>
        </w:rPr>
        <w:t>Engl</w:t>
      </w:r>
      <w:proofErr w:type="spellEnd"/>
      <w:r w:rsidRPr="00C267E9">
        <w:rPr>
          <w:rFonts w:ascii="Calibri" w:hAnsi="Calibri"/>
          <w:i/>
        </w:rPr>
        <w:t xml:space="preserve"> J Med</w:t>
      </w:r>
      <w:r w:rsidRPr="00C267E9">
        <w:rPr>
          <w:rFonts w:ascii="Calibri" w:hAnsi="Calibri"/>
        </w:rPr>
        <w:t xml:space="preserve">. 1994; </w:t>
      </w:r>
      <w:r w:rsidRPr="00C267E9">
        <w:rPr>
          <w:rFonts w:ascii="Calibri" w:hAnsi="Calibri"/>
          <w:b/>
          <w:bCs/>
        </w:rPr>
        <w:t>330</w:t>
      </w:r>
      <w:r w:rsidRPr="00C267E9">
        <w:rPr>
          <w:rFonts w:ascii="Calibri" w:hAnsi="Calibri"/>
        </w:rPr>
        <w:t>: 1841-1845.</w:t>
      </w:r>
    </w:p>
    <w:p w:rsidR="00600C86" w:rsidRDefault="00600C86" w:rsidP="00600C86">
      <w:pPr>
        <w:numPr>
          <w:ilvl w:val="1"/>
          <w:numId w:val="1"/>
        </w:numPr>
        <w:rPr>
          <w:rFonts w:ascii="Calibri" w:hAnsi="Calibri"/>
        </w:rPr>
      </w:pPr>
      <w:proofErr w:type="spellStart"/>
      <w:r w:rsidRPr="00C267E9">
        <w:rPr>
          <w:rFonts w:ascii="Calibri" w:hAnsi="Calibri"/>
        </w:rPr>
        <w:t>Fanjiang</w:t>
      </w:r>
      <w:proofErr w:type="spellEnd"/>
      <w:r w:rsidRPr="00C267E9">
        <w:rPr>
          <w:rFonts w:ascii="Calibri" w:hAnsi="Calibri"/>
        </w:rPr>
        <w:t xml:space="preserve"> G, Russell GH, Katz AJ. </w:t>
      </w:r>
      <w:r w:rsidRPr="00C267E9">
        <w:rPr>
          <w:rFonts w:ascii="Calibri" w:hAnsi="Calibri"/>
          <w:iCs/>
        </w:rPr>
        <w:t xml:space="preserve">Short- and long-term response to and weaning from </w:t>
      </w:r>
      <w:proofErr w:type="spellStart"/>
      <w:r w:rsidRPr="00C267E9">
        <w:rPr>
          <w:rFonts w:ascii="Calibri" w:hAnsi="Calibri"/>
          <w:iCs/>
        </w:rPr>
        <w:t>Infliximab</w:t>
      </w:r>
      <w:proofErr w:type="spellEnd"/>
      <w:r w:rsidRPr="00C267E9">
        <w:rPr>
          <w:rFonts w:ascii="Calibri" w:hAnsi="Calibri"/>
          <w:iCs/>
        </w:rPr>
        <w:t xml:space="preserve"> Therapy in Pediatric Ulcerative Colitis</w:t>
      </w:r>
      <w:r w:rsidRPr="00C267E9">
        <w:rPr>
          <w:rFonts w:ascii="Calibri" w:hAnsi="Calibri"/>
          <w:i/>
          <w:iCs/>
        </w:rPr>
        <w:t xml:space="preserve">. </w:t>
      </w:r>
      <w:r w:rsidRPr="00C267E9">
        <w:rPr>
          <w:rFonts w:ascii="Calibri" w:hAnsi="Calibri"/>
          <w:i/>
        </w:rPr>
        <w:t xml:space="preserve">J </w:t>
      </w:r>
      <w:proofErr w:type="spellStart"/>
      <w:r w:rsidRPr="00C267E9">
        <w:rPr>
          <w:rFonts w:ascii="Calibri" w:hAnsi="Calibri"/>
          <w:i/>
        </w:rPr>
        <w:t>Pediatr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Gastroenterol</w:t>
      </w:r>
      <w:proofErr w:type="spellEnd"/>
      <w:r w:rsidRPr="00C267E9">
        <w:rPr>
          <w:rFonts w:ascii="Calibri" w:hAnsi="Calibri"/>
          <w:i/>
        </w:rPr>
        <w:t xml:space="preserve"> </w:t>
      </w:r>
      <w:proofErr w:type="spellStart"/>
      <w:r w:rsidRPr="00C267E9">
        <w:rPr>
          <w:rFonts w:ascii="Calibri" w:hAnsi="Calibri"/>
          <w:i/>
        </w:rPr>
        <w:t>Nutr</w:t>
      </w:r>
      <w:proofErr w:type="spellEnd"/>
      <w:r w:rsidRPr="00C267E9">
        <w:rPr>
          <w:rFonts w:ascii="Calibri" w:hAnsi="Calibri"/>
          <w:i/>
        </w:rPr>
        <w:t xml:space="preserve">. </w:t>
      </w:r>
      <w:r w:rsidRPr="00C267E9">
        <w:rPr>
          <w:rFonts w:ascii="Calibri" w:hAnsi="Calibri"/>
        </w:rPr>
        <w:t>2007</w:t>
      </w:r>
      <w:proofErr w:type="gramStart"/>
      <w:r w:rsidRPr="00C267E9">
        <w:rPr>
          <w:rFonts w:ascii="Calibri" w:hAnsi="Calibri"/>
        </w:rPr>
        <w:t>;</w:t>
      </w:r>
      <w:r w:rsidRPr="00C267E9">
        <w:rPr>
          <w:rFonts w:ascii="Calibri" w:hAnsi="Calibri"/>
          <w:bCs/>
        </w:rPr>
        <w:t>44</w:t>
      </w:r>
      <w:proofErr w:type="gramEnd"/>
      <w:r w:rsidRPr="00C267E9">
        <w:rPr>
          <w:rFonts w:ascii="Calibri" w:hAnsi="Calibri"/>
        </w:rPr>
        <w:t>: 312-317.</w:t>
      </w:r>
    </w:p>
    <w:p w:rsidR="002D50F8" w:rsidRDefault="002D50F8" w:rsidP="00600C86"/>
    <w:sectPr w:rsidR="002D50F8" w:rsidSect="002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BEC"/>
    <w:multiLevelType w:val="hybridMultilevel"/>
    <w:tmpl w:val="B9662B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33AFF"/>
    <w:multiLevelType w:val="hybridMultilevel"/>
    <w:tmpl w:val="FB70A7BE"/>
    <w:lvl w:ilvl="0" w:tplc="6854C86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D8F"/>
    <w:multiLevelType w:val="hybridMultilevel"/>
    <w:tmpl w:val="20F6BF2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C806AC"/>
    <w:multiLevelType w:val="hybridMultilevel"/>
    <w:tmpl w:val="51FA7EC4"/>
    <w:lvl w:ilvl="0" w:tplc="633441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0125214"/>
    <w:multiLevelType w:val="hybridMultilevel"/>
    <w:tmpl w:val="7D2217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0C86"/>
    <w:rsid w:val="000016C5"/>
    <w:rsid w:val="00002C2B"/>
    <w:rsid w:val="00005407"/>
    <w:rsid w:val="00010D3C"/>
    <w:rsid w:val="000113FB"/>
    <w:rsid w:val="00012429"/>
    <w:rsid w:val="0001413F"/>
    <w:rsid w:val="0002224A"/>
    <w:rsid w:val="00023937"/>
    <w:rsid w:val="00026D8F"/>
    <w:rsid w:val="00027009"/>
    <w:rsid w:val="00030F6F"/>
    <w:rsid w:val="00031D60"/>
    <w:rsid w:val="00032D49"/>
    <w:rsid w:val="00033FE0"/>
    <w:rsid w:val="000352B2"/>
    <w:rsid w:val="00037849"/>
    <w:rsid w:val="000450D7"/>
    <w:rsid w:val="00045178"/>
    <w:rsid w:val="00046709"/>
    <w:rsid w:val="0005021F"/>
    <w:rsid w:val="00050349"/>
    <w:rsid w:val="00051979"/>
    <w:rsid w:val="00056BC7"/>
    <w:rsid w:val="0006160E"/>
    <w:rsid w:val="00061897"/>
    <w:rsid w:val="0006438B"/>
    <w:rsid w:val="00065151"/>
    <w:rsid w:val="000677F8"/>
    <w:rsid w:val="00073FB4"/>
    <w:rsid w:val="00076414"/>
    <w:rsid w:val="000769B9"/>
    <w:rsid w:val="00077B7D"/>
    <w:rsid w:val="0008698C"/>
    <w:rsid w:val="00087F32"/>
    <w:rsid w:val="00090793"/>
    <w:rsid w:val="000908F6"/>
    <w:rsid w:val="00092465"/>
    <w:rsid w:val="00093A8F"/>
    <w:rsid w:val="000A2FF0"/>
    <w:rsid w:val="000A5D6B"/>
    <w:rsid w:val="000A6DC7"/>
    <w:rsid w:val="000B20FF"/>
    <w:rsid w:val="000B36E6"/>
    <w:rsid w:val="000B3C3F"/>
    <w:rsid w:val="000B5CDB"/>
    <w:rsid w:val="000C0641"/>
    <w:rsid w:val="000C068E"/>
    <w:rsid w:val="000C0C4F"/>
    <w:rsid w:val="000C14E1"/>
    <w:rsid w:val="000C1869"/>
    <w:rsid w:val="000C5476"/>
    <w:rsid w:val="000C5BA1"/>
    <w:rsid w:val="000C655A"/>
    <w:rsid w:val="000C6D08"/>
    <w:rsid w:val="000D02BA"/>
    <w:rsid w:val="000D420A"/>
    <w:rsid w:val="000D45C5"/>
    <w:rsid w:val="000D5121"/>
    <w:rsid w:val="000D6674"/>
    <w:rsid w:val="000D6CFA"/>
    <w:rsid w:val="000D7D00"/>
    <w:rsid w:val="000E1B8F"/>
    <w:rsid w:val="000E447D"/>
    <w:rsid w:val="000E4BFA"/>
    <w:rsid w:val="000E7AF6"/>
    <w:rsid w:val="000F031D"/>
    <w:rsid w:val="000F054D"/>
    <w:rsid w:val="000F3277"/>
    <w:rsid w:val="000F3B70"/>
    <w:rsid w:val="000F6F56"/>
    <w:rsid w:val="000F6F8E"/>
    <w:rsid w:val="0010229D"/>
    <w:rsid w:val="00102EDE"/>
    <w:rsid w:val="00103DB2"/>
    <w:rsid w:val="001048B6"/>
    <w:rsid w:val="00106758"/>
    <w:rsid w:val="00106C7B"/>
    <w:rsid w:val="00110504"/>
    <w:rsid w:val="00115D72"/>
    <w:rsid w:val="00117957"/>
    <w:rsid w:val="00117B7B"/>
    <w:rsid w:val="00121530"/>
    <w:rsid w:val="0012570B"/>
    <w:rsid w:val="001272CD"/>
    <w:rsid w:val="00127C16"/>
    <w:rsid w:val="0013084C"/>
    <w:rsid w:val="00130BA4"/>
    <w:rsid w:val="0013721A"/>
    <w:rsid w:val="00140347"/>
    <w:rsid w:val="0014116D"/>
    <w:rsid w:val="001433A6"/>
    <w:rsid w:val="00145852"/>
    <w:rsid w:val="001461A0"/>
    <w:rsid w:val="001504F0"/>
    <w:rsid w:val="001507E5"/>
    <w:rsid w:val="0015180F"/>
    <w:rsid w:val="00151D94"/>
    <w:rsid w:val="00154B6B"/>
    <w:rsid w:val="00156D8D"/>
    <w:rsid w:val="00160055"/>
    <w:rsid w:val="00161864"/>
    <w:rsid w:val="00162235"/>
    <w:rsid w:val="001626AB"/>
    <w:rsid w:val="00162E5D"/>
    <w:rsid w:val="00164090"/>
    <w:rsid w:val="00166973"/>
    <w:rsid w:val="00166E4C"/>
    <w:rsid w:val="00170149"/>
    <w:rsid w:val="001714B2"/>
    <w:rsid w:val="001715C3"/>
    <w:rsid w:val="00172CCD"/>
    <w:rsid w:val="0017421F"/>
    <w:rsid w:val="00174C62"/>
    <w:rsid w:val="00174D6C"/>
    <w:rsid w:val="00180E52"/>
    <w:rsid w:val="001819D1"/>
    <w:rsid w:val="00181AE4"/>
    <w:rsid w:val="00184B84"/>
    <w:rsid w:val="00185466"/>
    <w:rsid w:val="001917B7"/>
    <w:rsid w:val="00192580"/>
    <w:rsid w:val="001931C5"/>
    <w:rsid w:val="0019321F"/>
    <w:rsid w:val="00193ADC"/>
    <w:rsid w:val="00194B23"/>
    <w:rsid w:val="00194D84"/>
    <w:rsid w:val="001A0AA5"/>
    <w:rsid w:val="001A12C3"/>
    <w:rsid w:val="001A22F4"/>
    <w:rsid w:val="001A40C6"/>
    <w:rsid w:val="001A7516"/>
    <w:rsid w:val="001B1957"/>
    <w:rsid w:val="001B1C52"/>
    <w:rsid w:val="001B22E9"/>
    <w:rsid w:val="001B4A61"/>
    <w:rsid w:val="001B51C8"/>
    <w:rsid w:val="001B627C"/>
    <w:rsid w:val="001B7C7A"/>
    <w:rsid w:val="001C1F7D"/>
    <w:rsid w:val="001C34FD"/>
    <w:rsid w:val="001C4232"/>
    <w:rsid w:val="001C4BE9"/>
    <w:rsid w:val="001C5B8E"/>
    <w:rsid w:val="001D186E"/>
    <w:rsid w:val="001D323C"/>
    <w:rsid w:val="001D39B7"/>
    <w:rsid w:val="001D4140"/>
    <w:rsid w:val="001D463F"/>
    <w:rsid w:val="001D4EFD"/>
    <w:rsid w:val="001D69C7"/>
    <w:rsid w:val="001D7193"/>
    <w:rsid w:val="001E05B9"/>
    <w:rsid w:val="001E2610"/>
    <w:rsid w:val="001E2CDB"/>
    <w:rsid w:val="001E36AD"/>
    <w:rsid w:val="001E7376"/>
    <w:rsid w:val="001E7524"/>
    <w:rsid w:val="001F1D58"/>
    <w:rsid w:val="00202673"/>
    <w:rsid w:val="0020516E"/>
    <w:rsid w:val="002052D2"/>
    <w:rsid w:val="00206E25"/>
    <w:rsid w:val="0020745A"/>
    <w:rsid w:val="002078BC"/>
    <w:rsid w:val="00207B9F"/>
    <w:rsid w:val="0021085D"/>
    <w:rsid w:val="00210D53"/>
    <w:rsid w:val="00210FEB"/>
    <w:rsid w:val="00211902"/>
    <w:rsid w:val="00213DF5"/>
    <w:rsid w:val="0022539E"/>
    <w:rsid w:val="002261E8"/>
    <w:rsid w:val="0023472B"/>
    <w:rsid w:val="002373BE"/>
    <w:rsid w:val="002373F7"/>
    <w:rsid w:val="00237AB2"/>
    <w:rsid w:val="00241A0E"/>
    <w:rsid w:val="00243AD0"/>
    <w:rsid w:val="002453E1"/>
    <w:rsid w:val="00245D24"/>
    <w:rsid w:val="00250DA5"/>
    <w:rsid w:val="00251601"/>
    <w:rsid w:val="0025358E"/>
    <w:rsid w:val="002548D1"/>
    <w:rsid w:val="00254E2C"/>
    <w:rsid w:val="00255355"/>
    <w:rsid w:val="00256229"/>
    <w:rsid w:val="002600C2"/>
    <w:rsid w:val="00262CDE"/>
    <w:rsid w:val="00265DF5"/>
    <w:rsid w:val="00267CB7"/>
    <w:rsid w:val="00267D9F"/>
    <w:rsid w:val="00270898"/>
    <w:rsid w:val="00273445"/>
    <w:rsid w:val="0027778A"/>
    <w:rsid w:val="00281FF6"/>
    <w:rsid w:val="0028223F"/>
    <w:rsid w:val="00285847"/>
    <w:rsid w:val="00285C0A"/>
    <w:rsid w:val="0028612E"/>
    <w:rsid w:val="00286955"/>
    <w:rsid w:val="00286A32"/>
    <w:rsid w:val="00287042"/>
    <w:rsid w:val="002875EB"/>
    <w:rsid w:val="00290AA6"/>
    <w:rsid w:val="0029657D"/>
    <w:rsid w:val="00297B04"/>
    <w:rsid w:val="002A43B6"/>
    <w:rsid w:val="002A4F19"/>
    <w:rsid w:val="002A701F"/>
    <w:rsid w:val="002B0593"/>
    <w:rsid w:val="002B0B86"/>
    <w:rsid w:val="002B10D7"/>
    <w:rsid w:val="002B3CF1"/>
    <w:rsid w:val="002B4FA7"/>
    <w:rsid w:val="002B7BF9"/>
    <w:rsid w:val="002C18BC"/>
    <w:rsid w:val="002C2190"/>
    <w:rsid w:val="002C2DE7"/>
    <w:rsid w:val="002D2420"/>
    <w:rsid w:val="002D25E5"/>
    <w:rsid w:val="002D26C7"/>
    <w:rsid w:val="002D41B3"/>
    <w:rsid w:val="002D4539"/>
    <w:rsid w:val="002D4E1C"/>
    <w:rsid w:val="002D50F8"/>
    <w:rsid w:val="002D5610"/>
    <w:rsid w:val="002D58D4"/>
    <w:rsid w:val="002D736A"/>
    <w:rsid w:val="002E534F"/>
    <w:rsid w:val="002E75F9"/>
    <w:rsid w:val="002E7F1B"/>
    <w:rsid w:val="002F7634"/>
    <w:rsid w:val="003016E4"/>
    <w:rsid w:val="00302B62"/>
    <w:rsid w:val="0030342B"/>
    <w:rsid w:val="00305C25"/>
    <w:rsid w:val="00305D61"/>
    <w:rsid w:val="00307E10"/>
    <w:rsid w:val="003106ED"/>
    <w:rsid w:val="00311C3E"/>
    <w:rsid w:val="00311EAD"/>
    <w:rsid w:val="00311ED5"/>
    <w:rsid w:val="00313FD0"/>
    <w:rsid w:val="00314404"/>
    <w:rsid w:val="00315B24"/>
    <w:rsid w:val="00315B43"/>
    <w:rsid w:val="00317072"/>
    <w:rsid w:val="00322AC3"/>
    <w:rsid w:val="00326847"/>
    <w:rsid w:val="00327B8D"/>
    <w:rsid w:val="00327FC6"/>
    <w:rsid w:val="00331E33"/>
    <w:rsid w:val="003365CA"/>
    <w:rsid w:val="00336BAB"/>
    <w:rsid w:val="003402EA"/>
    <w:rsid w:val="00342662"/>
    <w:rsid w:val="00342B0B"/>
    <w:rsid w:val="00343E27"/>
    <w:rsid w:val="00343F4C"/>
    <w:rsid w:val="00344B81"/>
    <w:rsid w:val="00345460"/>
    <w:rsid w:val="003460F3"/>
    <w:rsid w:val="0034652B"/>
    <w:rsid w:val="00347C29"/>
    <w:rsid w:val="00347DB3"/>
    <w:rsid w:val="00350281"/>
    <w:rsid w:val="00350873"/>
    <w:rsid w:val="0035094B"/>
    <w:rsid w:val="00355045"/>
    <w:rsid w:val="00361128"/>
    <w:rsid w:val="00363AA9"/>
    <w:rsid w:val="0037229A"/>
    <w:rsid w:val="00374D5A"/>
    <w:rsid w:val="00374DE0"/>
    <w:rsid w:val="003751F0"/>
    <w:rsid w:val="00375F55"/>
    <w:rsid w:val="00380F86"/>
    <w:rsid w:val="003821FD"/>
    <w:rsid w:val="0038297F"/>
    <w:rsid w:val="00384291"/>
    <w:rsid w:val="00385933"/>
    <w:rsid w:val="003900AE"/>
    <w:rsid w:val="003902AA"/>
    <w:rsid w:val="00395308"/>
    <w:rsid w:val="003A309D"/>
    <w:rsid w:val="003A42A3"/>
    <w:rsid w:val="003B0798"/>
    <w:rsid w:val="003C0C96"/>
    <w:rsid w:val="003C3AE8"/>
    <w:rsid w:val="003C4404"/>
    <w:rsid w:val="003D417B"/>
    <w:rsid w:val="003E0219"/>
    <w:rsid w:val="003E09A9"/>
    <w:rsid w:val="003E2220"/>
    <w:rsid w:val="003E2CDD"/>
    <w:rsid w:val="003E310D"/>
    <w:rsid w:val="003E323B"/>
    <w:rsid w:val="003E56B2"/>
    <w:rsid w:val="003F028E"/>
    <w:rsid w:val="003F03CF"/>
    <w:rsid w:val="003F2496"/>
    <w:rsid w:val="003F33E7"/>
    <w:rsid w:val="003F4B03"/>
    <w:rsid w:val="003F4EF7"/>
    <w:rsid w:val="003F7DFC"/>
    <w:rsid w:val="0040203D"/>
    <w:rsid w:val="00403AD3"/>
    <w:rsid w:val="0040589C"/>
    <w:rsid w:val="004072BA"/>
    <w:rsid w:val="0041130D"/>
    <w:rsid w:val="00411B6B"/>
    <w:rsid w:val="004128C3"/>
    <w:rsid w:val="00415367"/>
    <w:rsid w:val="00415765"/>
    <w:rsid w:val="00416956"/>
    <w:rsid w:val="00420C0B"/>
    <w:rsid w:val="004219E8"/>
    <w:rsid w:val="00423295"/>
    <w:rsid w:val="00424B5C"/>
    <w:rsid w:val="00426F35"/>
    <w:rsid w:val="00430EDB"/>
    <w:rsid w:val="00431FAB"/>
    <w:rsid w:val="004328C7"/>
    <w:rsid w:val="00433456"/>
    <w:rsid w:val="00433923"/>
    <w:rsid w:val="00434CDA"/>
    <w:rsid w:val="004400F4"/>
    <w:rsid w:val="004425B8"/>
    <w:rsid w:val="004431FC"/>
    <w:rsid w:val="0044396C"/>
    <w:rsid w:val="0044489E"/>
    <w:rsid w:val="00446EC2"/>
    <w:rsid w:val="00451021"/>
    <w:rsid w:val="0045170C"/>
    <w:rsid w:val="00451820"/>
    <w:rsid w:val="004548CB"/>
    <w:rsid w:val="00455245"/>
    <w:rsid w:val="00455B8A"/>
    <w:rsid w:val="0045750D"/>
    <w:rsid w:val="0046780D"/>
    <w:rsid w:val="00474C98"/>
    <w:rsid w:val="00476624"/>
    <w:rsid w:val="00477020"/>
    <w:rsid w:val="004776B9"/>
    <w:rsid w:val="004813EA"/>
    <w:rsid w:val="00486516"/>
    <w:rsid w:val="00490C3C"/>
    <w:rsid w:val="0049132A"/>
    <w:rsid w:val="0049196D"/>
    <w:rsid w:val="00494DF8"/>
    <w:rsid w:val="00496597"/>
    <w:rsid w:val="00497576"/>
    <w:rsid w:val="004A00D7"/>
    <w:rsid w:val="004B02C5"/>
    <w:rsid w:val="004B37FA"/>
    <w:rsid w:val="004B67C0"/>
    <w:rsid w:val="004C36A0"/>
    <w:rsid w:val="004C461E"/>
    <w:rsid w:val="004C48A4"/>
    <w:rsid w:val="004C49C6"/>
    <w:rsid w:val="004C5BCC"/>
    <w:rsid w:val="004C67DE"/>
    <w:rsid w:val="004C7099"/>
    <w:rsid w:val="004D4098"/>
    <w:rsid w:val="004D51B1"/>
    <w:rsid w:val="004D6ED1"/>
    <w:rsid w:val="004D78B9"/>
    <w:rsid w:val="004E1C09"/>
    <w:rsid w:val="004E3D3E"/>
    <w:rsid w:val="004E5928"/>
    <w:rsid w:val="004F0095"/>
    <w:rsid w:val="004F017B"/>
    <w:rsid w:val="004F1A36"/>
    <w:rsid w:val="004F5830"/>
    <w:rsid w:val="004F758E"/>
    <w:rsid w:val="00501188"/>
    <w:rsid w:val="00502427"/>
    <w:rsid w:val="005062DC"/>
    <w:rsid w:val="005108F5"/>
    <w:rsid w:val="0051446E"/>
    <w:rsid w:val="005153E1"/>
    <w:rsid w:val="005172E2"/>
    <w:rsid w:val="00517783"/>
    <w:rsid w:val="00520712"/>
    <w:rsid w:val="00520FF1"/>
    <w:rsid w:val="005223E7"/>
    <w:rsid w:val="00523C72"/>
    <w:rsid w:val="005276CD"/>
    <w:rsid w:val="00530036"/>
    <w:rsid w:val="005309EB"/>
    <w:rsid w:val="00530BD2"/>
    <w:rsid w:val="00531413"/>
    <w:rsid w:val="00531482"/>
    <w:rsid w:val="00534C04"/>
    <w:rsid w:val="00537343"/>
    <w:rsid w:val="00540856"/>
    <w:rsid w:val="005408A2"/>
    <w:rsid w:val="00540BD6"/>
    <w:rsid w:val="0054303E"/>
    <w:rsid w:val="00543440"/>
    <w:rsid w:val="00546DDC"/>
    <w:rsid w:val="00552BC0"/>
    <w:rsid w:val="00552F7A"/>
    <w:rsid w:val="005544CE"/>
    <w:rsid w:val="00562FE2"/>
    <w:rsid w:val="0056355A"/>
    <w:rsid w:val="0056762D"/>
    <w:rsid w:val="00567CC8"/>
    <w:rsid w:val="00570F8E"/>
    <w:rsid w:val="005720B0"/>
    <w:rsid w:val="005721D4"/>
    <w:rsid w:val="00572563"/>
    <w:rsid w:val="005768CE"/>
    <w:rsid w:val="0057721C"/>
    <w:rsid w:val="00584920"/>
    <w:rsid w:val="00584B69"/>
    <w:rsid w:val="00585D18"/>
    <w:rsid w:val="00586095"/>
    <w:rsid w:val="00587B5A"/>
    <w:rsid w:val="00590163"/>
    <w:rsid w:val="00590EB4"/>
    <w:rsid w:val="00591583"/>
    <w:rsid w:val="00595038"/>
    <w:rsid w:val="005A152C"/>
    <w:rsid w:val="005A39D5"/>
    <w:rsid w:val="005A5F37"/>
    <w:rsid w:val="005B0EA8"/>
    <w:rsid w:val="005B2563"/>
    <w:rsid w:val="005B2A0E"/>
    <w:rsid w:val="005B32E6"/>
    <w:rsid w:val="005B5BD7"/>
    <w:rsid w:val="005B6AB9"/>
    <w:rsid w:val="005B7C47"/>
    <w:rsid w:val="005C30E0"/>
    <w:rsid w:val="005C5D42"/>
    <w:rsid w:val="005D3554"/>
    <w:rsid w:val="005D4204"/>
    <w:rsid w:val="005D680F"/>
    <w:rsid w:val="005D6FC6"/>
    <w:rsid w:val="005D7B7E"/>
    <w:rsid w:val="005E13F3"/>
    <w:rsid w:val="005E222C"/>
    <w:rsid w:val="005E2E60"/>
    <w:rsid w:val="005E3674"/>
    <w:rsid w:val="005E39B3"/>
    <w:rsid w:val="005E4585"/>
    <w:rsid w:val="005F27C6"/>
    <w:rsid w:val="005F2885"/>
    <w:rsid w:val="005F2D29"/>
    <w:rsid w:val="005F52CD"/>
    <w:rsid w:val="005F5BCD"/>
    <w:rsid w:val="005F79B3"/>
    <w:rsid w:val="00600C86"/>
    <w:rsid w:val="0060123A"/>
    <w:rsid w:val="00606C5F"/>
    <w:rsid w:val="0061188B"/>
    <w:rsid w:val="006127EC"/>
    <w:rsid w:val="00615D02"/>
    <w:rsid w:val="00616FF5"/>
    <w:rsid w:val="00621A30"/>
    <w:rsid w:val="0062295B"/>
    <w:rsid w:val="006263B3"/>
    <w:rsid w:val="00627615"/>
    <w:rsid w:val="0063430C"/>
    <w:rsid w:val="00640E09"/>
    <w:rsid w:val="006411BB"/>
    <w:rsid w:val="00641CE7"/>
    <w:rsid w:val="00645E7F"/>
    <w:rsid w:val="00647AAE"/>
    <w:rsid w:val="0065057D"/>
    <w:rsid w:val="00651E8E"/>
    <w:rsid w:val="00660602"/>
    <w:rsid w:val="00660A48"/>
    <w:rsid w:val="006641F3"/>
    <w:rsid w:val="006669F9"/>
    <w:rsid w:val="00666B03"/>
    <w:rsid w:val="00670133"/>
    <w:rsid w:val="00675F23"/>
    <w:rsid w:val="00676272"/>
    <w:rsid w:val="00683983"/>
    <w:rsid w:val="0068448A"/>
    <w:rsid w:val="00690608"/>
    <w:rsid w:val="00694F2F"/>
    <w:rsid w:val="00697F9C"/>
    <w:rsid w:val="006A1B42"/>
    <w:rsid w:val="006A6B73"/>
    <w:rsid w:val="006B00A6"/>
    <w:rsid w:val="006B246A"/>
    <w:rsid w:val="006B2B55"/>
    <w:rsid w:val="006B345E"/>
    <w:rsid w:val="006B46BD"/>
    <w:rsid w:val="006C0AB5"/>
    <w:rsid w:val="006C5FD7"/>
    <w:rsid w:val="006C6D18"/>
    <w:rsid w:val="006D3C89"/>
    <w:rsid w:val="006D7D67"/>
    <w:rsid w:val="006E1711"/>
    <w:rsid w:val="006E17B6"/>
    <w:rsid w:val="006E4C79"/>
    <w:rsid w:val="006E5249"/>
    <w:rsid w:val="006E599B"/>
    <w:rsid w:val="006E6B6A"/>
    <w:rsid w:val="006F0F39"/>
    <w:rsid w:val="006F1881"/>
    <w:rsid w:val="006F2E91"/>
    <w:rsid w:val="006F40CE"/>
    <w:rsid w:val="007009FF"/>
    <w:rsid w:val="00703B19"/>
    <w:rsid w:val="007042A6"/>
    <w:rsid w:val="00707408"/>
    <w:rsid w:val="00707A2B"/>
    <w:rsid w:val="00711C37"/>
    <w:rsid w:val="0071495E"/>
    <w:rsid w:val="00717C30"/>
    <w:rsid w:val="0072050A"/>
    <w:rsid w:val="00720FEB"/>
    <w:rsid w:val="0072707E"/>
    <w:rsid w:val="00733742"/>
    <w:rsid w:val="00734BB0"/>
    <w:rsid w:val="00734D47"/>
    <w:rsid w:val="007368BA"/>
    <w:rsid w:val="007408BD"/>
    <w:rsid w:val="00740B85"/>
    <w:rsid w:val="00743585"/>
    <w:rsid w:val="00744278"/>
    <w:rsid w:val="007463CD"/>
    <w:rsid w:val="00747570"/>
    <w:rsid w:val="00747783"/>
    <w:rsid w:val="00750509"/>
    <w:rsid w:val="00750CBB"/>
    <w:rsid w:val="0075228F"/>
    <w:rsid w:val="00753466"/>
    <w:rsid w:val="0075528F"/>
    <w:rsid w:val="00756621"/>
    <w:rsid w:val="007569E1"/>
    <w:rsid w:val="00761ED9"/>
    <w:rsid w:val="00761EF8"/>
    <w:rsid w:val="00762965"/>
    <w:rsid w:val="007644D8"/>
    <w:rsid w:val="00764973"/>
    <w:rsid w:val="007659E5"/>
    <w:rsid w:val="00765DF2"/>
    <w:rsid w:val="0076699B"/>
    <w:rsid w:val="007674B2"/>
    <w:rsid w:val="0077062E"/>
    <w:rsid w:val="007715D8"/>
    <w:rsid w:val="00773A7A"/>
    <w:rsid w:val="0077508B"/>
    <w:rsid w:val="0077623E"/>
    <w:rsid w:val="007767EE"/>
    <w:rsid w:val="00777F50"/>
    <w:rsid w:val="00780091"/>
    <w:rsid w:val="00783DAF"/>
    <w:rsid w:val="00784225"/>
    <w:rsid w:val="00784AC2"/>
    <w:rsid w:val="00791D71"/>
    <w:rsid w:val="00791E00"/>
    <w:rsid w:val="0079360C"/>
    <w:rsid w:val="00795973"/>
    <w:rsid w:val="007A287D"/>
    <w:rsid w:val="007A2D2A"/>
    <w:rsid w:val="007A2F09"/>
    <w:rsid w:val="007A32CA"/>
    <w:rsid w:val="007A4CF5"/>
    <w:rsid w:val="007A5451"/>
    <w:rsid w:val="007A5993"/>
    <w:rsid w:val="007A64DF"/>
    <w:rsid w:val="007A7130"/>
    <w:rsid w:val="007B0B1C"/>
    <w:rsid w:val="007B5825"/>
    <w:rsid w:val="007B63F7"/>
    <w:rsid w:val="007C0651"/>
    <w:rsid w:val="007C0B15"/>
    <w:rsid w:val="007C1943"/>
    <w:rsid w:val="007C2079"/>
    <w:rsid w:val="007C3D51"/>
    <w:rsid w:val="007C40F0"/>
    <w:rsid w:val="007C5A37"/>
    <w:rsid w:val="007D21E2"/>
    <w:rsid w:val="007D47AB"/>
    <w:rsid w:val="007D5207"/>
    <w:rsid w:val="007D59F0"/>
    <w:rsid w:val="007D6264"/>
    <w:rsid w:val="007D6CFA"/>
    <w:rsid w:val="007E0771"/>
    <w:rsid w:val="007E160E"/>
    <w:rsid w:val="007E174A"/>
    <w:rsid w:val="007E2942"/>
    <w:rsid w:val="007E4862"/>
    <w:rsid w:val="007F73FF"/>
    <w:rsid w:val="007F778F"/>
    <w:rsid w:val="0080035E"/>
    <w:rsid w:val="00804303"/>
    <w:rsid w:val="008045D0"/>
    <w:rsid w:val="0081311B"/>
    <w:rsid w:val="00813337"/>
    <w:rsid w:val="008133B5"/>
    <w:rsid w:val="0081353B"/>
    <w:rsid w:val="00815CAB"/>
    <w:rsid w:val="00816293"/>
    <w:rsid w:val="00820099"/>
    <w:rsid w:val="00822213"/>
    <w:rsid w:val="00822660"/>
    <w:rsid w:val="00823362"/>
    <w:rsid w:val="00823A47"/>
    <w:rsid w:val="0082434D"/>
    <w:rsid w:val="008333AE"/>
    <w:rsid w:val="00837BAF"/>
    <w:rsid w:val="00840DD6"/>
    <w:rsid w:val="00842CAE"/>
    <w:rsid w:val="00844E4B"/>
    <w:rsid w:val="00845998"/>
    <w:rsid w:val="00846278"/>
    <w:rsid w:val="008468EB"/>
    <w:rsid w:val="008506BD"/>
    <w:rsid w:val="008517F7"/>
    <w:rsid w:val="008523CE"/>
    <w:rsid w:val="00855481"/>
    <w:rsid w:val="008569AB"/>
    <w:rsid w:val="00861636"/>
    <w:rsid w:val="00861F36"/>
    <w:rsid w:val="008642EF"/>
    <w:rsid w:val="0086669F"/>
    <w:rsid w:val="008670D6"/>
    <w:rsid w:val="008724FD"/>
    <w:rsid w:val="008725B6"/>
    <w:rsid w:val="0087302D"/>
    <w:rsid w:val="00874135"/>
    <w:rsid w:val="00874592"/>
    <w:rsid w:val="00875232"/>
    <w:rsid w:val="008757E3"/>
    <w:rsid w:val="0088238F"/>
    <w:rsid w:val="00882B17"/>
    <w:rsid w:val="00882BAF"/>
    <w:rsid w:val="00883D75"/>
    <w:rsid w:val="00886A51"/>
    <w:rsid w:val="00886DCB"/>
    <w:rsid w:val="00886E21"/>
    <w:rsid w:val="00887507"/>
    <w:rsid w:val="00890D96"/>
    <w:rsid w:val="00891B58"/>
    <w:rsid w:val="00892686"/>
    <w:rsid w:val="00892A4D"/>
    <w:rsid w:val="008936F0"/>
    <w:rsid w:val="00894411"/>
    <w:rsid w:val="008964D0"/>
    <w:rsid w:val="008965CD"/>
    <w:rsid w:val="008A1848"/>
    <w:rsid w:val="008A475F"/>
    <w:rsid w:val="008A6A06"/>
    <w:rsid w:val="008A6E26"/>
    <w:rsid w:val="008A7AA1"/>
    <w:rsid w:val="008B73A0"/>
    <w:rsid w:val="008C0C87"/>
    <w:rsid w:val="008C0F42"/>
    <w:rsid w:val="008C21F0"/>
    <w:rsid w:val="008C2D83"/>
    <w:rsid w:val="008C3157"/>
    <w:rsid w:val="008C5452"/>
    <w:rsid w:val="008D0565"/>
    <w:rsid w:val="008D3973"/>
    <w:rsid w:val="008D4EA8"/>
    <w:rsid w:val="008D6016"/>
    <w:rsid w:val="008D62E4"/>
    <w:rsid w:val="008E06E8"/>
    <w:rsid w:val="008E4529"/>
    <w:rsid w:val="008E47BF"/>
    <w:rsid w:val="008E4A82"/>
    <w:rsid w:val="008E4CD1"/>
    <w:rsid w:val="008F2E36"/>
    <w:rsid w:val="008F3161"/>
    <w:rsid w:val="008F32C3"/>
    <w:rsid w:val="008F4118"/>
    <w:rsid w:val="008F7523"/>
    <w:rsid w:val="00900C58"/>
    <w:rsid w:val="00901CAA"/>
    <w:rsid w:val="00903932"/>
    <w:rsid w:val="00904F31"/>
    <w:rsid w:val="00905CA8"/>
    <w:rsid w:val="00905E75"/>
    <w:rsid w:val="00911C89"/>
    <w:rsid w:val="00913B47"/>
    <w:rsid w:val="00914C87"/>
    <w:rsid w:val="009154D7"/>
    <w:rsid w:val="00916E19"/>
    <w:rsid w:val="0092088A"/>
    <w:rsid w:val="00923ECF"/>
    <w:rsid w:val="00925058"/>
    <w:rsid w:val="00925BE9"/>
    <w:rsid w:val="00930E8E"/>
    <w:rsid w:val="00934D1D"/>
    <w:rsid w:val="00935EBC"/>
    <w:rsid w:val="00940351"/>
    <w:rsid w:val="0094412F"/>
    <w:rsid w:val="009442FB"/>
    <w:rsid w:val="009508C8"/>
    <w:rsid w:val="00950AE2"/>
    <w:rsid w:val="00950C30"/>
    <w:rsid w:val="009525AF"/>
    <w:rsid w:val="00954202"/>
    <w:rsid w:val="009554B3"/>
    <w:rsid w:val="00960B61"/>
    <w:rsid w:val="00960FDE"/>
    <w:rsid w:val="00963E4D"/>
    <w:rsid w:val="00965238"/>
    <w:rsid w:val="009723F8"/>
    <w:rsid w:val="00973441"/>
    <w:rsid w:val="00974E7B"/>
    <w:rsid w:val="00976516"/>
    <w:rsid w:val="0097684F"/>
    <w:rsid w:val="00976A03"/>
    <w:rsid w:val="00983860"/>
    <w:rsid w:val="00983C7D"/>
    <w:rsid w:val="00984EA3"/>
    <w:rsid w:val="00985170"/>
    <w:rsid w:val="00986852"/>
    <w:rsid w:val="00986D27"/>
    <w:rsid w:val="00991A0A"/>
    <w:rsid w:val="00992268"/>
    <w:rsid w:val="009928E5"/>
    <w:rsid w:val="00992BA4"/>
    <w:rsid w:val="00993CB6"/>
    <w:rsid w:val="00995B3D"/>
    <w:rsid w:val="00995C62"/>
    <w:rsid w:val="009974F8"/>
    <w:rsid w:val="009A0E45"/>
    <w:rsid w:val="009A5669"/>
    <w:rsid w:val="009A59CA"/>
    <w:rsid w:val="009A5D10"/>
    <w:rsid w:val="009A615A"/>
    <w:rsid w:val="009A6647"/>
    <w:rsid w:val="009A7932"/>
    <w:rsid w:val="009B13F9"/>
    <w:rsid w:val="009B1FDD"/>
    <w:rsid w:val="009B4BD9"/>
    <w:rsid w:val="009B5DB4"/>
    <w:rsid w:val="009C1F54"/>
    <w:rsid w:val="009C2B09"/>
    <w:rsid w:val="009C4276"/>
    <w:rsid w:val="009C7CF9"/>
    <w:rsid w:val="009D00BB"/>
    <w:rsid w:val="009D2CF1"/>
    <w:rsid w:val="009D36F9"/>
    <w:rsid w:val="009D4E66"/>
    <w:rsid w:val="009E27EA"/>
    <w:rsid w:val="009E407A"/>
    <w:rsid w:val="009E661E"/>
    <w:rsid w:val="009F3017"/>
    <w:rsid w:val="009F32CE"/>
    <w:rsid w:val="009F4B47"/>
    <w:rsid w:val="009F7442"/>
    <w:rsid w:val="009F756B"/>
    <w:rsid w:val="00A009DE"/>
    <w:rsid w:val="00A02267"/>
    <w:rsid w:val="00A02373"/>
    <w:rsid w:val="00A04DCB"/>
    <w:rsid w:val="00A05C32"/>
    <w:rsid w:val="00A06C19"/>
    <w:rsid w:val="00A06D7B"/>
    <w:rsid w:val="00A11AC4"/>
    <w:rsid w:val="00A1237F"/>
    <w:rsid w:val="00A130A7"/>
    <w:rsid w:val="00A138DB"/>
    <w:rsid w:val="00A13E97"/>
    <w:rsid w:val="00A14421"/>
    <w:rsid w:val="00A14C85"/>
    <w:rsid w:val="00A1504F"/>
    <w:rsid w:val="00A1538B"/>
    <w:rsid w:val="00A17B01"/>
    <w:rsid w:val="00A202D0"/>
    <w:rsid w:val="00A20346"/>
    <w:rsid w:val="00A209E9"/>
    <w:rsid w:val="00A21610"/>
    <w:rsid w:val="00A21F8D"/>
    <w:rsid w:val="00A23A4C"/>
    <w:rsid w:val="00A275AA"/>
    <w:rsid w:val="00A301D8"/>
    <w:rsid w:val="00A3079D"/>
    <w:rsid w:val="00A30F28"/>
    <w:rsid w:val="00A31E5F"/>
    <w:rsid w:val="00A33E92"/>
    <w:rsid w:val="00A3780B"/>
    <w:rsid w:val="00A400A1"/>
    <w:rsid w:val="00A40328"/>
    <w:rsid w:val="00A4099E"/>
    <w:rsid w:val="00A42F47"/>
    <w:rsid w:val="00A43110"/>
    <w:rsid w:val="00A4354D"/>
    <w:rsid w:val="00A43620"/>
    <w:rsid w:val="00A44BE1"/>
    <w:rsid w:val="00A45F00"/>
    <w:rsid w:val="00A46624"/>
    <w:rsid w:val="00A4777F"/>
    <w:rsid w:val="00A50321"/>
    <w:rsid w:val="00A522F1"/>
    <w:rsid w:val="00A524FA"/>
    <w:rsid w:val="00A547AE"/>
    <w:rsid w:val="00A56462"/>
    <w:rsid w:val="00A56EA5"/>
    <w:rsid w:val="00A6467B"/>
    <w:rsid w:val="00A71722"/>
    <w:rsid w:val="00A71E58"/>
    <w:rsid w:val="00A72EE4"/>
    <w:rsid w:val="00A734CD"/>
    <w:rsid w:val="00A75825"/>
    <w:rsid w:val="00A82BFB"/>
    <w:rsid w:val="00A835F2"/>
    <w:rsid w:val="00A838CE"/>
    <w:rsid w:val="00A84E43"/>
    <w:rsid w:val="00A85EEA"/>
    <w:rsid w:val="00A86B25"/>
    <w:rsid w:val="00A90DF4"/>
    <w:rsid w:val="00A93A5C"/>
    <w:rsid w:val="00A95480"/>
    <w:rsid w:val="00AA2445"/>
    <w:rsid w:val="00AA31F3"/>
    <w:rsid w:val="00AA44F2"/>
    <w:rsid w:val="00AA7416"/>
    <w:rsid w:val="00AB0356"/>
    <w:rsid w:val="00AB061C"/>
    <w:rsid w:val="00AB2624"/>
    <w:rsid w:val="00AB3626"/>
    <w:rsid w:val="00AB7E59"/>
    <w:rsid w:val="00AC1A5C"/>
    <w:rsid w:val="00AC2289"/>
    <w:rsid w:val="00AC4EF8"/>
    <w:rsid w:val="00AC699C"/>
    <w:rsid w:val="00AC6D4D"/>
    <w:rsid w:val="00AD02E2"/>
    <w:rsid w:val="00AD3996"/>
    <w:rsid w:val="00AD46D1"/>
    <w:rsid w:val="00AD499A"/>
    <w:rsid w:val="00AD5874"/>
    <w:rsid w:val="00AD66D3"/>
    <w:rsid w:val="00AD7B74"/>
    <w:rsid w:val="00AD7F18"/>
    <w:rsid w:val="00AE057C"/>
    <w:rsid w:val="00AE13B6"/>
    <w:rsid w:val="00AE5575"/>
    <w:rsid w:val="00AF0224"/>
    <w:rsid w:val="00AF2B86"/>
    <w:rsid w:val="00AF3FBA"/>
    <w:rsid w:val="00AF45F4"/>
    <w:rsid w:val="00B0201C"/>
    <w:rsid w:val="00B02C1B"/>
    <w:rsid w:val="00B07A00"/>
    <w:rsid w:val="00B201CF"/>
    <w:rsid w:val="00B202AC"/>
    <w:rsid w:val="00B25126"/>
    <w:rsid w:val="00B2526E"/>
    <w:rsid w:val="00B27966"/>
    <w:rsid w:val="00B32D10"/>
    <w:rsid w:val="00B33ED1"/>
    <w:rsid w:val="00B37495"/>
    <w:rsid w:val="00B41B25"/>
    <w:rsid w:val="00B4617E"/>
    <w:rsid w:val="00B46B13"/>
    <w:rsid w:val="00B4708C"/>
    <w:rsid w:val="00B50FCD"/>
    <w:rsid w:val="00B5125B"/>
    <w:rsid w:val="00B57385"/>
    <w:rsid w:val="00B5742F"/>
    <w:rsid w:val="00B575CE"/>
    <w:rsid w:val="00B61F30"/>
    <w:rsid w:val="00B67CBC"/>
    <w:rsid w:val="00B706B5"/>
    <w:rsid w:val="00B71C1A"/>
    <w:rsid w:val="00B7279A"/>
    <w:rsid w:val="00B73801"/>
    <w:rsid w:val="00B923FE"/>
    <w:rsid w:val="00B924EA"/>
    <w:rsid w:val="00B94806"/>
    <w:rsid w:val="00B95436"/>
    <w:rsid w:val="00B96F14"/>
    <w:rsid w:val="00B97CC6"/>
    <w:rsid w:val="00BA1FFF"/>
    <w:rsid w:val="00BA2DEA"/>
    <w:rsid w:val="00BA4A31"/>
    <w:rsid w:val="00BA70A0"/>
    <w:rsid w:val="00BA7781"/>
    <w:rsid w:val="00BB14FF"/>
    <w:rsid w:val="00BB3752"/>
    <w:rsid w:val="00BB6374"/>
    <w:rsid w:val="00BB7A50"/>
    <w:rsid w:val="00BC3777"/>
    <w:rsid w:val="00BC7378"/>
    <w:rsid w:val="00BD3343"/>
    <w:rsid w:val="00BD4C87"/>
    <w:rsid w:val="00BD5FEC"/>
    <w:rsid w:val="00BD63E2"/>
    <w:rsid w:val="00BD67AA"/>
    <w:rsid w:val="00BE06E4"/>
    <w:rsid w:val="00BE0C25"/>
    <w:rsid w:val="00BE1788"/>
    <w:rsid w:val="00BF01B6"/>
    <w:rsid w:val="00BF03FD"/>
    <w:rsid w:val="00BF2794"/>
    <w:rsid w:val="00BF385E"/>
    <w:rsid w:val="00BF41FF"/>
    <w:rsid w:val="00BF4E3A"/>
    <w:rsid w:val="00BF6B26"/>
    <w:rsid w:val="00C00240"/>
    <w:rsid w:val="00C009DE"/>
    <w:rsid w:val="00C0120C"/>
    <w:rsid w:val="00C01543"/>
    <w:rsid w:val="00C049EC"/>
    <w:rsid w:val="00C05490"/>
    <w:rsid w:val="00C05E93"/>
    <w:rsid w:val="00C06A98"/>
    <w:rsid w:val="00C07E2F"/>
    <w:rsid w:val="00C1046A"/>
    <w:rsid w:val="00C119BB"/>
    <w:rsid w:val="00C175B7"/>
    <w:rsid w:val="00C2140F"/>
    <w:rsid w:val="00C231E6"/>
    <w:rsid w:val="00C24648"/>
    <w:rsid w:val="00C2610A"/>
    <w:rsid w:val="00C263C5"/>
    <w:rsid w:val="00C274E6"/>
    <w:rsid w:val="00C30A17"/>
    <w:rsid w:val="00C3485B"/>
    <w:rsid w:val="00C36E02"/>
    <w:rsid w:val="00C41808"/>
    <w:rsid w:val="00C4241E"/>
    <w:rsid w:val="00C42701"/>
    <w:rsid w:val="00C4356F"/>
    <w:rsid w:val="00C447B1"/>
    <w:rsid w:val="00C460A8"/>
    <w:rsid w:val="00C4738C"/>
    <w:rsid w:val="00C50A94"/>
    <w:rsid w:val="00C524E1"/>
    <w:rsid w:val="00C53248"/>
    <w:rsid w:val="00C53D69"/>
    <w:rsid w:val="00C53F3A"/>
    <w:rsid w:val="00C55122"/>
    <w:rsid w:val="00C553BE"/>
    <w:rsid w:val="00C57DD5"/>
    <w:rsid w:val="00C605A2"/>
    <w:rsid w:val="00C61240"/>
    <w:rsid w:val="00C637B0"/>
    <w:rsid w:val="00C64D77"/>
    <w:rsid w:val="00C66B34"/>
    <w:rsid w:val="00C70216"/>
    <w:rsid w:val="00C71B87"/>
    <w:rsid w:val="00C72CD2"/>
    <w:rsid w:val="00C76B73"/>
    <w:rsid w:val="00C8139A"/>
    <w:rsid w:val="00C815A0"/>
    <w:rsid w:val="00C82BE8"/>
    <w:rsid w:val="00C82F51"/>
    <w:rsid w:val="00C8526C"/>
    <w:rsid w:val="00C856A6"/>
    <w:rsid w:val="00C877A3"/>
    <w:rsid w:val="00C925A3"/>
    <w:rsid w:val="00C94DD2"/>
    <w:rsid w:val="00C953E8"/>
    <w:rsid w:val="00C95878"/>
    <w:rsid w:val="00C95C50"/>
    <w:rsid w:val="00CA3E24"/>
    <w:rsid w:val="00CA4D93"/>
    <w:rsid w:val="00CB1477"/>
    <w:rsid w:val="00CB1CC8"/>
    <w:rsid w:val="00CB5923"/>
    <w:rsid w:val="00CC1E9A"/>
    <w:rsid w:val="00CC5572"/>
    <w:rsid w:val="00CC5D8D"/>
    <w:rsid w:val="00CC73AE"/>
    <w:rsid w:val="00CD199E"/>
    <w:rsid w:val="00CD2798"/>
    <w:rsid w:val="00CE0311"/>
    <w:rsid w:val="00CE087D"/>
    <w:rsid w:val="00CE239C"/>
    <w:rsid w:val="00CE3D7A"/>
    <w:rsid w:val="00CE5914"/>
    <w:rsid w:val="00CE6149"/>
    <w:rsid w:val="00CE6DE1"/>
    <w:rsid w:val="00CF2007"/>
    <w:rsid w:val="00D02B53"/>
    <w:rsid w:val="00D02CAA"/>
    <w:rsid w:val="00D1103E"/>
    <w:rsid w:val="00D11A0F"/>
    <w:rsid w:val="00D12D8D"/>
    <w:rsid w:val="00D152ED"/>
    <w:rsid w:val="00D206A0"/>
    <w:rsid w:val="00D228BB"/>
    <w:rsid w:val="00D251A7"/>
    <w:rsid w:val="00D259D7"/>
    <w:rsid w:val="00D2603D"/>
    <w:rsid w:val="00D273AE"/>
    <w:rsid w:val="00D27935"/>
    <w:rsid w:val="00D30CFD"/>
    <w:rsid w:val="00D3488C"/>
    <w:rsid w:val="00D35902"/>
    <w:rsid w:val="00D37DF3"/>
    <w:rsid w:val="00D37F41"/>
    <w:rsid w:val="00D46C2B"/>
    <w:rsid w:val="00D50947"/>
    <w:rsid w:val="00D50C4E"/>
    <w:rsid w:val="00D518BA"/>
    <w:rsid w:val="00D571EF"/>
    <w:rsid w:val="00D600C1"/>
    <w:rsid w:val="00D63292"/>
    <w:rsid w:val="00D648EA"/>
    <w:rsid w:val="00D649CB"/>
    <w:rsid w:val="00D64E58"/>
    <w:rsid w:val="00D66354"/>
    <w:rsid w:val="00D670F8"/>
    <w:rsid w:val="00D708EB"/>
    <w:rsid w:val="00D70DAB"/>
    <w:rsid w:val="00D741C6"/>
    <w:rsid w:val="00D7435E"/>
    <w:rsid w:val="00D749C7"/>
    <w:rsid w:val="00D75F60"/>
    <w:rsid w:val="00D80AA4"/>
    <w:rsid w:val="00D81C12"/>
    <w:rsid w:val="00D83228"/>
    <w:rsid w:val="00D8366A"/>
    <w:rsid w:val="00D83744"/>
    <w:rsid w:val="00D841D4"/>
    <w:rsid w:val="00D84A9A"/>
    <w:rsid w:val="00D87C2D"/>
    <w:rsid w:val="00D90AE0"/>
    <w:rsid w:val="00D92016"/>
    <w:rsid w:val="00D92865"/>
    <w:rsid w:val="00D97683"/>
    <w:rsid w:val="00D97AAD"/>
    <w:rsid w:val="00DA044C"/>
    <w:rsid w:val="00DA0DA9"/>
    <w:rsid w:val="00DA1F0A"/>
    <w:rsid w:val="00DB4A17"/>
    <w:rsid w:val="00DB7239"/>
    <w:rsid w:val="00DC0947"/>
    <w:rsid w:val="00DC1FDA"/>
    <w:rsid w:val="00DC368C"/>
    <w:rsid w:val="00DC7F41"/>
    <w:rsid w:val="00DD037B"/>
    <w:rsid w:val="00DD25BD"/>
    <w:rsid w:val="00DD4685"/>
    <w:rsid w:val="00DD4A64"/>
    <w:rsid w:val="00DD4C91"/>
    <w:rsid w:val="00DE5D82"/>
    <w:rsid w:val="00DF2685"/>
    <w:rsid w:val="00DF3901"/>
    <w:rsid w:val="00DF41ED"/>
    <w:rsid w:val="00DF75CC"/>
    <w:rsid w:val="00E14F8A"/>
    <w:rsid w:val="00E16F07"/>
    <w:rsid w:val="00E20702"/>
    <w:rsid w:val="00E2239C"/>
    <w:rsid w:val="00E22AE2"/>
    <w:rsid w:val="00E23204"/>
    <w:rsid w:val="00E23205"/>
    <w:rsid w:val="00E23348"/>
    <w:rsid w:val="00E23906"/>
    <w:rsid w:val="00E23C89"/>
    <w:rsid w:val="00E30CBE"/>
    <w:rsid w:val="00E31E1A"/>
    <w:rsid w:val="00E32512"/>
    <w:rsid w:val="00E32E5D"/>
    <w:rsid w:val="00E33DB0"/>
    <w:rsid w:val="00E33FE8"/>
    <w:rsid w:val="00E37580"/>
    <w:rsid w:val="00E37ABC"/>
    <w:rsid w:val="00E40B36"/>
    <w:rsid w:val="00E425EC"/>
    <w:rsid w:val="00E42CE9"/>
    <w:rsid w:val="00E430EC"/>
    <w:rsid w:val="00E45A70"/>
    <w:rsid w:val="00E50145"/>
    <w:rsid w:val="00E51686"/>
    <w:rsid w:val="00E51EE2"/>
    <w:rsid w:val="00E55192"/>
    <w:rsid w:val="00E564D0"/>
    <w:rsid w:val="00E56D4A"/>
    <w:rsid w:val="00E608BA"/>
    <w:rsid w:val="00E61B7B"/>
    <w:rsid w:val="00E62D54"/>
    <w:rsid w:val="00E71791"/>
    <w:rsid w:val="00E748EE"/>
    <w:rsid w:val="00E74A4A"/>
    <w:rsid w:val="00E74AC0"/>
    <w:rsid w:val="00E77B33"/>
    <w:rsid w:val="00E823BD"/>
    <w:rsid w:val="00E82755"/>
    <w:rsid w:val="00E828C6"/>
    <w:rsid w:val="00E8546B"/>
    <w:rsid w:val="00E86C98"/>
    <w:rsid w:val="00E94EBD"/>
    <w:rsid w:val="00EA3657"/>
    <w:rsid w:val="00EA44A9"/>
    <w:rsid w:val="00EA56BB"/>
    <w:rsid w:val="00EA66AF"/>
    <w:rsid w:val="00EA776D"/>
    <w:rsid w:val="00EA7C4E"/>
    <w:rsid w:val="00EB130A"/>
    <w:rsid w:val="00EB2362"/>
    <w:rsid w:val="00EC0F02"/>
    <w:rsid w:val="00EC3654"/>
    <w:rsid w:val="00EC594D"/>
    <w:rsid w:val="00EC7B79"/>
    <w:rsid w:val="00EC7F71"/>
    <w:rsid w:val="00ED1D0B"/>
    <w:rsid w:val="00ED35F8"/>
    <w:rsid w:val="00ED49A6"/>
    <w:rsid w:val="00ED53DE"/>
    <w:rsid w:val="00ED7346"/>
    <w:rsid w:val="00EE0E3F"/>
    <w:rsid w:val="00EE3107"/>
    <w:rsid w:val="00EE5505"/>
    <w:rsid w:val="00EE6327"/>
    <w:rsid w:val="00EE77CC"/>
    <w:rsid w:val="00EF0ED8"/>
    <w:rsid w:val="00EF12F1"/>
    <w:rsid w:val="00EF19AB"/>
    <w:rsid w:val="00EF30E1"/>
    <w:rsid w:val="00EF3ABD"/>
    <w:rsid w:val="00EF3BD5"/>
    <w:rsid w:val="00EF7C68"/>
    <w:rsid w:val="00F02D7F"/>
    <w:rsid w:val="00F04F03"/>
    <w:rsid w:val="00F05CE3"/>
    <w:rsid w:val="00F065AE"/>
    <w:rsid w:val="00F10838"/>
    <w:rsid w:val="00F12966"/>
    <w:rsid w:val="00F12A20"/>
    <w:rsid w:val="00F13C56"/>
    <w:rsid w:val="00F15D61"/>
    <w:rsid w:val="00F169C7"/>
    <w:rsid w:val="00F2072D"/>
    <w:rsid w:val="00F22502"/>
    <w:rsid w:val="00F2370C"/>
    <w:rsid w:val="00F252B1"/>
    <w:rsid w:val="00F25901"/>
    <w:rsid w:val="00F26044"/>
    <w:rsid w:val="00F2737A"/>
    <w:rsid w:val="00F30ED5"/>
    <w:rsid w:val="00F32BD9"/>
    <w:rsid w:val="00F34154"/>
    <w:rsid w:val="00F35E3A"/>
    <w:rsid w:val="00F37393"/>
    <w:rsid w:val="00F37508"/>
    <w:rsid w:val="00F4014D"/>
    <w:rsid w:val="00F404FC"/>
    <w:rsid w:val="00F46621"/>
    <w:rsid w:val="00F47AFC"/>
    <w:rsid w:val="00F52F91"/>
    <w:rsid w:val="00F5419A"/>
    <w:rsid w:val="00F5672E"/>
    <w:rsid w:val="00F62378"/>
    <w:rsid w:val="00F62F7F"/>
    <w:rsid w:val="00F62F8B"/>
    <w:rsid w:val="00F6369F"/>
    <w:rsid w:val="00F646D4"/>
    <w:rsid w:val="00F66717"/>
    <w:rsid w:val="00F677BD"/>
    <w:rsid w:val="00F711BD"/>
    <w:rsid w:val="00F715C3"/>
    <w:rsid w:val="00F729B5"/>
    <w:rsid w:val="00F72E47"/>
    <w:rsid w:val="00F73B2C"/>
    <w:rsid w:val="00F74F56"/>
    <w:rsid w:val="00F753AC"/>
    <w:rsid w:val="00F76290"/>
    <w:rsid w:val="00F76FE2"/>
    <w:rsid w:val="00F8122B"/>
    <w:rsid w:val="00F8286D"/>
    <w:rsid w:val="00F8530F"/>
    <w:rsid w:val="00F85756"/>
    <w:rsid w:val="00F932CA"/>
    <w:rsid w:val="00F9558D"/>
    <w:rsid w:val="00F97A7D"/>
    <w:rsid w:val="00F97CD4"/>
    <w:rsid w:val="00F97D0C"/>
    <w:rsid w:val="00F97D31"/>
    <w:rsid w:val="00FA0A90"/>
    <w:rsid w:val="00FA1178"/>
    <w:rsid w:val="00FA11EF"/>
    <w:rsid w:val="00FA1211"/>
    <w:rsid w:val="00FA1BE6"/>
    <w:rsid w:val="00FA3388"/>
    <w:rsid w:val="00FA4366"/>
    <w:rsid w:val="00FA4F6B"/>
    <w:rsid w:val="00FA7ED2"/>
    <w:rsid w:val="00FB274A"/>
    <w:rsid w:val="00FB309B"/>
    <w:rsid w:val="00FB34FF"/>
    <w:rsid w:val="00FB3649"/>
    <w:rsid w:val="00FB38AB"/>
    <w:rsid w:val="00FB5DA8"/>
    <w:rsid w:val="00FB6E2F"/>
    <w:rsid w:val="00FC3D84"/>
    <w:rsid w:val="00FC44B6"/>
    <w:rsid w:val="00FC589B"/>
    <w:rsid w:val="00FD2CA1"/>
    <w:rsid w:val="00FE0230"/>
    <w:rsid w:val="00FE4887"/>
    <w:rsid w:val="00FE56BA"/>
    <w:rsid w:val="00FE5A00"/>
    <w:rsid w:val="00FE6104"/>
    <w:rsid w:val="00FF0A9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0C86"/>
    <w:rPr>
      <w:b/>
      <w:bCs/>
    </w:rPr>
  </w:style>
  <w:style w:type="paragraph" w:styleId="CommentText">
    <w:name w:val="annotation text"/>
    <w:basedOn w:val="Normal"/>
    <w:link w:val="CommentTextChar"/>
    <w:rsid w:val="00600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C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0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Company>CMH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jschurman</dc:creator>
  <cp:lastModifiedBy>jschurman</cp:lastModifiedBy>
  <cp:revision>2</cp:revision>
  <dcterms:created xsi:type="dcterms:W3CDTF">2013-12-12T15:01:00Z</dcterms:created>
  <dcterms:modified xsi:type="dcterms:W3CDTF">2013-12-12T15:01:00Z</dcterms:modified>
</cp:coreProperties>
</file>